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9BF5F" w14:textId="77777777" w:rsidR="00BF1EE5" w:rsidRDefault="00BF1EE5">
      <w:pPr>
        <w:rPr>
          <w:b/>
        </w:rPr>
      </w:pPr>
    </w:p>
    <w:p w14:paraId="7ACF8A48" w14:textId="77777777" w:rsidR="00C5758B" w:rsidRDefault="00C5758B" w:rsidP="00C5758B">
      <w:pPr>
        <w:jc w:val="center"/>
        <w:rPr>
          <w:b/>
          <w:u w:val="single"/>
        </w:rPr>
      </w:pPr>
    </w:p>
    <w:p w14:paraId="06F8E625" w14:textId="77777777" w:rsidR="00EA2D2D" w:rsidRPr="00890534" w:rsidRDefault="00573677" w:rsidP="00C5758B">
      <w:pPr>
        <w:jc w:val="center"/>
        <w:rPr>
          <w:rFonts w:ascii="Calibri" w:hAnsi="Calibri" w:cs="Calibri"/>
          <w:b/>
          <w:sz w:val="28"/>
        </w:rPr>
      </w:pPr>
      <w:r w:rsidRPr="00890534">
        <w:rPr>
          <w:rFonts w:ascii="Calibri" w:hAnsi="Calibri" w:cs="Calibri"/>
          <w:b/>
          <w:sz w:val="28"/>
        </w:rPr>
        <w:t>EFPIA RESPONSE TO THE PUBLIC CONSULTATION ON THE REVISION TO THE HORIZONTAL BLOCK EXEMPTIONS &amp; GUIDELINES</w:t>
      </w:r>
    </w:p>
    <w:p w14:paraId="15A1C1D5" w14:textId="77777777" w:rsidR="00573677" w:rsidRPr="00C5758B" w:rsidRDefault="00573677">
      <w:pPr>
        <w:rPr>
          <w:rFonts w:ascii="Calibri" w:hAnsi="Calibri" w:cs="Calibri"/>
          <w:b/>
        </w:rPr>
      </w:pPr>
    </w:p>
    <w:p w14:paraId="7995B82E" w14:textId="77777777" w:rsidR="00573677" w:rsidRPr="00C5758B" w:rsidRDefault="006C2BE4" w:rsidP="006C2BE4">
      <w:pPr>
        <w:jc w:val="center"/>
        <w:rPr>
          <w:rFonts w:ascii="Calibri" w:hAnsi="Calibri" w:cs="Calibri"/>
          <w:b/>
        </w:rPr>
      </w:pPr>
      <w:r>
        <w:rPr>
          <w:rFonts w:ascii="Calibri" w:hAnsi="Calibri" w:cs="Calibri"/>
          <w:b/>
        </w:rPr>
        <w:t>26</w:t>
      </w:r>
      <w:r w:rsidR="00573677" w:rsidRPr="00C5758B">
        <w:rPr>
          <w:rFonts w:ascii="Calibri" w:hAnsi="Calibri" w:cs="Calibri"/>
          <w:b/>
        </w:rPr>
        <w:t xml:space="preserve"> April 2022</w:t>
      </w:r>
    </w:p>
    <w:p w14:paraId="7FC7B890" w14:textId="77777777" w:rsidR="00C5758B" w:rsidRDefault="00C5758B">
      <w:pPr>
        <w:rPr>
          <w:rFonts w:ascii="Calibri" w:hAnsi="Calibri" w:cs="Calibri"/>
        </w:rPr>
      </w:pPr>
    </w:p>
    <w:p w14:paraId="2C007642" w14:textId="77777777" w:rsidR="00890534" w:rsidRPr="006C2BE4" w:rsidRDefault="006C2BE4" w:rsidP="005113E8">
      <w:pPr>
        <w:pStyle w:val="Heading1"/>
        <w:jc w:val="both"/>
      </w:pPr>
      <w:r w:rsidRPr="006C2BE4">
        <w:t>1.</w:t>
      </w:r>
      <w:r w:rsidRPr="006C2BE4">
        <w:tab/>
        <w:t>Introduction</w:t>
      </w:r>
    </w:p>
    <w:p w14:paraId="28C584E4" w14:textId="77777777" w:rsidR="006C2BE4" w:rsidRDefault="006C2BE4">
      <w:pPr>
        <w:rPr>
          <w:rFonts w:ascii="Calibri" w:hAnsi="Calibri" w:cs="Calibri"/>
        </w:rPr>
      </w:pPr>
    </w:p>
    <w:p w14:paraId="3C87DA2C" w14:textId="7B7DFD1E" w:rsidR="004F5334" w:rsidRPr="008C618A" w:rsidRDefault="00573677" w:rsidP="005113E8">
      <w:pPr>
        <w:pStyle w:val="ListParagraph"/>
        <w:numPr>
          <w:ilvl w:val="0"/>
          <w:numId w:val="36"/>
        </w:numPr>
        <w:jc w:val="both"/>
        <w:rPr>
          <w:rFonts w:ascii="Calibri" w:hAnsi="Calibri" w:cs="Calibri"/>
        </w:rPr>
      </w:pPr>
      <w:r w:rsidRPr="008C618A">
        <w:rPr>
          <w:rFonts w:ascii="Calibri" w:hAnsi="Calibri" w:cs="Calibri"/>
        </w:rPr>
        <w:t>EFPIA welcomes this opportunity to comment on the review of the competition rules applicable to horizontal cooperation agreements.</w:t>
      </w:r>
      <w:r w:rsidR="005113E8">
        <w:rPr>
          <w:rFonts w:ascii="Calibri" w:hAnsi="Calibri" w:cs="Calibri"/>
        </w:rPr>
        <w:t xml:space="preserve"> </w:t>
      </w:r>
      <w:r w:rsidR="004F5334" w:rsidRPr="008C618A">
        <w:rPr>
          <w:rFonts w:ascii="Calibri" w:hAnsi="Calibri" w:cs="Calibri"/>
        </w:rPr>
        <w:t xml:space="preserve">EFPIA limits its comments to the R&amp;D block exemption Regulation and to the new proposed guidelines on bidding consortia. </w:t>
      </w:r>
    </w:p>
    <w:p w14:paraId="42C99E6E" w14:textId="77777777" w:rsidR="004F5334" w:rsidRDefault="004F5334" w:rsidP="005113E8">
      <w:pPr>
        <w:jc w:val="both"/>
        <w:rPr>
          <w:rFonts w:ascii="Calibri" w:hAnsi="Calibri" w:cs="Calibri"/>
        </w:rPr>
      </w:pPr>
    </w:p>
    <w:p w14:paraId="4BCFB0A3" w14:textId="201CCEFF" w:rsidR="00E16BE0" w:rsidRPr="008C618A" w:rsidRDefault="00573677" w:rsidP="005113E8">
      <w:pPr>
        <w:pStyle w:val="ListParagraph"/>
        <w:numPr>
          <w:ilvl w:val="0"/>
          <w:numId w:val="36"/>
        </w:numPr>
        <w:jc w:val="both"/>
        <w:rPr>
          <w:rFonts w:ascii="Calibri" w:hAnsi="Calibri" w:cs="Calibri"/>
        </w:rPr>
      </w:pPr>
      <w:r w:rsidRPr="008C618A">
        <w:rPr>
          <w:rFonts w:ascii="Calibri" w:hAnsi="Calibri" w:cs="Calibri"/>
        </w:rPr>
        <w:t xml:space="preserve">EFPIA agrees with the Commission's </w:t>
      </w:r>
      <w:r w:rsidR="004F5334" w:rsidRPr="008C618A">
        <w:rPr>
          <w:rFonts w:ascii="Calibri" w:hAnsi="Calibri" w:cs="Calibri"/>
        </w:rPr>
        <w:t>view</w:t>
      </w:r>
      <w:r w:rsidRPr="008C618A">
        <w:rPr>
          <w:rFonts w:ascii="Calibri" w:hAnsi="Calibri" w:cs="Calibri"/>
        </w:rPr>
        <w:t xml:space="preserve"> that the rules are not fully ad</w:t>
      </w:r>
      <w:r w:rsidR="005D0DEA" w:rsidRPr="008C618A">
        <w:rPr>
          <w:rFonts w:ascii="Calibri" w:hAnsi="Calibri" w:cs="Calibri"/>
        </w:rPr>
        <w:t>a</w:t>
      </w:r>
      <w:r w:rsidRPr="008C618A">
        <w:rPr>
          <w:rFonts w:ascii="Calibri" w:hAnsi="Calibri" w:cs="Calibri"/>
        </w:rPr>
        <w:t>pted to the modern economy and that, in places, the provisions are overly rigid and complex.</w:t>
      </w:r>
      <w:r w:rsidR="005113E8">
        <w:rPr>
          <w:rFonts w:ascii="Calibri" w:hAnsi="Calibri" w:cs="Calibri"/>
        </w:rPr>
        <w:t xml:space="preserve"> </w:t>
      </w:r>
      <w:r w:rsidR="004F5334" w:rsidRPr="008C618A">
        <w:rPr>
          <w:rFonts w:ascii="Calibri" w:hAnsi="Calibri" w:cs="Calibri"/>
        </w:rPr>
        <w:t xml:space="preserve">Rather than layering more rules and nuances on </w:t>
      </w:r>
      <w:r w:rsidR="00A164D8" w:rsidRPr="008C618A">
        <w:rPr>
          <w:rFonts w:ascii="Calibri" w:hAnsi="Calibri" w:cs="Calibri"/>
        </w:rPr>
        <w:t xml:space="preserve">top of </w:t>
      </w:r>
      <w:r w:rsidR="004F5334" w:rsidRPr="008C618A">
        <w:rPr>
          <w:rFonts w:ascii="Calibri" w:hAnsi="Calibri" w:cs="Calibri"/>
        </w:rPr>
        <w:t xml:space="preserve">an already unwieldy structure, </w:t>
      </w:r>
      <w:r w:rsidR="00832E2E" w:rsidRPr="008C618A">
        <w:rPr>
          <w:rFonts w:ascii="Calibri" w:hAnsi="Calibri" w:cs="Calibri"/>
        </w:rPr>
        <w:t xml:space="preserve">EFPIA </w:t>
      </w:r>
      <w:r w:rsidRPr="008C618A">
        <w:rPr>
          <w:rFonts w:ascii="Calibri" w:hAnsi="Calibri" w:cs="Calibri"/>
        </w:rPr>
        <w:t xml:space="preserve">urges the Commission to take advantage of the current review to </w:t>
      </w:r>
      <w:r w:rsidR="00A164D8" w:rsidRPr="008C618A">
        <w:rPr>
          <w:rFonts w:ascii="Calibri" w:hAnsi="Calibri" w:cs="Calibri"/>
        </w:rPr>
        <w:t>fundamentally rethink the</w:t>
      </w:r>
      <w:r w:rsidR="004F5334" w:rsidRPr="008C618A">
        <w:rPr>
          <w:rFonts w:ascii="Calibri" w:hAnsi="Calibri" w:cs="Calibri"/>
        </w:rPr>
        <w:t xml:space="preserve"> approach</w:t>
      </w:r>
      <w:r w:rsidR="00A164D8" w:rsidRPr="008C618A">
        <w:rPr>
          <w:rFonts w:ascii="Calibri" w:hAnsi="Calibri" w:cs="Calibri"/>
        </w:rPr>
        <w:t>.</w:t>
      </w:r>
      <w:r w:rsidR="005113E8">
        <w:rPr>
          <w:rFonts w:ascii="Calibri" w:hAnsi="Calibri" w:cs="Calibri"/>
        </w:rPr>
        <w:t xml:space="preserve"> </w:t>
      </w:r>
    </w:p>
    <w:p w14:paraId="79B82C69" w14:textId="77777777" w:rsidR="00E16BE0" w:rsidRDefault="00E16BE0" w:rsidP="005113E8">
      <w:pPr>
        <w:jc w:val="both"/>
        <w:rPr>
          <w:rFonts w:ascii="Calibri" w:hAnsi="Calibri" w:cs="Calibri"/>
        </w:rPr>
      </w:pPr>
    </w:p>
    <w:p w14:paraId="298CB820" w14:textId="64D98162" w:rsidR="00890534" w:rsidRPr="008C618A" w:rsidRDefault="00A164D8" w:rsidP="005113E8">
      <w:pPr>
        <w:pStyle w:val="ListParagraph"/>
        <w:numPr>
          <w:ilvl w:val="0"/>
          <w:numId w:val="36"/>
        </w:numPr>
        <w:jc w:val="both"/>
        <w:rPr>
          <w:rFonts w:ascii="Calibri" w:hAnsi="Calibri" w:cs="Calibri"/>
        </w:rPr>
      </w:pPr>
      <w:r w:rsidRPr="008C618A">
        <w:rPr>
          <w:rFonts w:ascii="Calibri" w:hAnsi="Calibri" w:cs="Calibri"/>
        </w:rPr>
        <w:t xml:space="preserve">The revised </w:t>
      </w:r>
      <w:r w:rsidR="00573677" w:rsidRPr="008C618A">
        <w:rPr>
          <w:rFonts w:ascii="Calibri" w:hAnsi="Calibri" w:cs="Calibri"/>
        </w:rPr>
        <w:t xml:space="preserve">rules on R&amp;D collaboration </w:t>
      </w:r>
      <w:r w:rsidRPr="008C618A">
        <w:rPr>
          <w:rFonts w:ascii="Calibri" w:hAnsi="Calibri" w:cs="Calibri"/>
        </w:rPr>
        <w:t xml:space="preserve">should have as their explicit goal the encouragement of </w:t>
      </w:r>
      <w:r w:rsidR="00573677" w:rsidRPr="008C618A">
        <w:rPr>
          <w:rFonts w:ascii="Calibri" w:hAnsi="Calibri" w:cs="Calibri"/>
        </w:rPr>
        <w:t xml:space="preserve">more R&amp;D collaboration </w:t>
      </w:r>
      <w:r w:rsidRPr="008C618A">
        <w:rPr>
          <w:rFonts w:ascii="Calibri" w:hAnsi="Calibri" w:cs="Calibri"/>
        </w:rPr>
        <w:t>and</w:t>
      </w:r>
      <w:r w:rsidR="00573677" w:rsidRPr="008C618A">
        <w:rPr>
          <w:rFonts w:ascii="Calibri" w:hAnsi="Calibri" w:cs="Calibri"/>
        </w:rPr>
        <w:t xml:space="preserve"> a more conducive environment for innovation in Europe.</w:t>
      </w:r>
      <w:r w:rsidR="005113E8">
        <w:rPr>
          <w:rFonts w:ascii="Calibri" w:hAnsi="Calibri" w:cs="Calibri"/>
        </w:rPr>
        <w:t xml:space="preserve"> </w:t>
      </w:r>
      <w:r w:rsidRPr="008C618A">
        <w:rPr>
          <w:rFonts w:ascii="Calibri" w:hAnsi="Calibri" w:cs="Calibri"/>
        </w:rPr>
        <w:t>The current rules and the Commission's proposals fall far short of that aspiration.</w:t>
      </w:r>
      <w:r w:rsidR="005113E8">
        <w:rPr>
          <w:rFonts w:ascii="Calibri" w:hAnsi="Calibri" w:cs="Calibri"/>
        </w:rPr>
        <w:t xml:space="preserve"> </w:t>
      </w:r>
      <w:r w:rsidR="00890534" w:rsidRPr="008C618A">
        <w:rPr>
          <w:rFonts w:ascii="Calibri" w:hAnsi="Calibri" w:cs="Calibri"/>
        </w:rPr>
        <w:t xml:space="preserve">Before commenting </w:t>
      </w:r>
      <w:r w:rsidR="00E16BE0" w:rsidRPr="008C618A">
        <w:rPr>
          <w:rFonts w:ascii="Calibri" w:hAnsi="Calibri" w:cs="Calibri"/>
        </w:rPr>
        <w:t xml:space="preserve">specifically </w:t>
      </w:r>
      <w:r w:rsidR="00890534" w:rsidRPr="008C618A">
        <w:rPr>
          <w:rFonts w:ascii="Calibri" w:hAnsi="Calibri" w:cs="Calibri"/>
        </w:rPr>
        <w:t xml:space="preserve">on the draft texts, EFPIA considers it useful to share some statistics on the importance of R&amp;D for the pharmaceutical industry. </w:t>
      </w:r>
    </w:p>
    <w:p w14:paraId="16806065" w14:textId="77777777" w:rsidR="00890534" w:rsidRDefault="00890534" w:rsidP="005113E8">
      <w:pPr>
        <w:jc w:val="both"/>
        <w:rPr>
          <w:rFonts w:ascii="Calibri" w:hAnsi="Calibri" w:cs="Calibri"/>
        </w:rPr>
      </w:pPr>
    </w:p>
    <w:p w14:paraId="55FEC214" w14:textId="5B419ED4" w:rsidR="00890534" w:rsidRPr="008C618A" w:rsidRDefault="00890534" w:rsidP="005113E8">
      <w:pPr>
        <w:pStyle w:val="ListParagraph"/>
        <w:numPr>
          <w:ilvl w:val="0"/>
          <w:numId w:val="36"/>
        </w:numPr>
        <w:jc w:val="both"/>
        <w:rPr>
          <w:rFonts w:ascii="Calibri" w:hAnsi="Calibri" w:cs="Calibri"/>
        </w:rPr>
      </w:pPr>
      <w:r w:rsidRPr="005113E8">
        <w:rPr>
          <w:rFonts w:ascii="Calibri" w:hAnsi="Calibri" w:cs="Calibri"/>
        </w:rPr>
        <w:t xml:space="preserve">According to </w:t>
      </w:r>
      <w:hyperlink r:id="rId9" w:history="1">
        <w:r w:rsidR="002E792F" w:rsidRPr="005113E8">
          <w:rPr>
            <w:rFonts w:ascii="Calibri" w:hAnsi="Calibri" w:cs="Calibri"/>
            <w:color w:val="0000FF"/>
            <w:u w:val="single"/>
          </w:rPr>
          <w:t>Global Trends in R&amp;D - IQVIA</w:t>
        </w:r>
      </w:hyperlink>
      <w:r w:rsidR="002E792F" w:rsidRPr="005113E8">
        <w:rPr>
          <w:rFonts w:ascii="Calibri" w:hAnsi="Calibri" w:cs="Calibri"/>
        </w:rPr>
        <w:t xml:space="preserve"> </w:t>
      </w:r>
      <w:r w:rsidRPr="005113E8">
        <w:rPr>
          <w:rFonts w:ascii="Calibri" w:hAnsi="Calibri" w:cs="Calibri"/>
        </w:rPr>
        <w:t>(May 2021), R&amp;D spend by the top 15 pharmaceutical companies by sales reached a staggering USD 123 billion in 2020, and exceeded 20% of sales for the first time - a more than 40% increase</w:t>
      </w:r>
      <w:r w:rsidRPr="008C618A">
        <w:rPr>
          <w:rFonts w:ascii="Calibri" w:hAnsi="Calibri" w:cs="Calibri"/>
        </w:rPr>
        <w:t xml:space="preserve"> over a period of five years. Venture capital flows into </w:t>
      </w:r>
      <w:r w:rsidR="00BA2D00" w:rsidRPr="008C618A">
        <w:rPr>
          <w:rFonts w:ascii="Calibri" w:hAnsi="Calibri" w:cs="Calibri"/>
        </w:rPr>
        <w:t>early-stage</w:t>
      </w:r>
      <w:r w:rsidRPr="008C618A">
        <w:rPr>
          <w:rFonts w:ascii="Calibri" w:hAnsi="Calibri" w:cs="Calibri"/>
        </w:rPr>
        <w:t xml:space="preserve"> companies increased 50% in 2020 compared to 2019, another all-time high.</w:t>
      </w:r>
      <w:r w:rsidR="005113E8">
        <w:rPr>
          <w:rFonts w:ascii="Calibri" w:hAnsi="Calibri" w:cs="Calibri"/>
        </w:rPr>
        <w:t xml:space="preserve"> </w:t>
      </w:r>
      <w:r w:rsidRPr="008C618A">
        <w:rPr>
          <w:rFonts w:ascii="Calibri" w:hAnsi="Calibri" w:cs="Calibri"/>
        </w:rPr>
        <w:t>There are approximately 9,000 products in the pipeline, an expansion of more than 40% since 2015.</w:t>
      </w:r>
      <w:r w:rsidR="005113E8">
        <w:rPr>
          <w:rFonts w:ascii="Calibri" w:hAnsi="Calibri" w:cs="Calibri"/>
        </w:rPr>
        <w:t xml:space="preserve"> </w:t>
      </w:r>
      <w:r w:rsidRPr="008C618A">
        <w:rPr>
          <w:rFonts w:ascii="Calibri" w:hAnsi="Calibri" w:cs="Calibri"/>
        </w:rPr>
        <w:t xml:space="preserve">The number of </w:t>
      </w:r>
      <w:r w:rsidR="00BA2D00" w:rsidRPr="008C618A">
        <w:rPr>
          <w:rFonts w:ascii="Calibri" w:hAnsi="Calibri" w:cs="Calibri"/>
        </w:rPr>
        <w:t>first-time</w:t>
      </w:r>
      <w:r w:rsidRPr="008C618A">
        <w:rPr>
          <w:rFonts w:ascii="Calibri" w:hAnsi="Calibri" w:cs="Calibri"/>
        </w:rPr>
        <w:t xml:space="preserve"> global launches of novel active substances was a record high of 66 in 2020, 40% of which were originated and launched by emerging biopharma companies.</w:t>
      </w:r>
      <w:r w:rsidR="005113E8">
        <w:rPr>
          <w:rFonts w:ascii="Calibri" w:hAnsi="Calibri" w:cs="Calibri"/>
        </w:rPr>
        <w:t xml:space="preserve"> </w:t>
      </w:r>
      <w:r w:rsidR="002E792F" w:rsidRPr="008C618A">
        <w:rPr>
          <w:rFonts w:ascii="Calibri" w:hAnsi="Calibri" w:cs="Calibri"/>
        </w:rPr>
        <w:t xml:space="preserve">Despite these record numbers, the reality is that the U.S. remains a much more attractive market for </w:t>
      </w:r>
      <w:r w:rsidR="00FA2819" w:rsidRPr="008C618A">
        <w:rPr>
          <w:rFonts w:ascii="Calibri" w:hAnsi="Calibri" w:cs="Calibri"/>
        </w:rPr>
        <w:t xml:space="preserve">pharmaceutical </w:t>
      </w:r>
      <w:r w:rsidR="002E792F" w:rsidRPr="008C618A">
        <w:rPr>
          <w:rFonts w:ascii="Calibri" w:hAnsi="Calibri" w:cs="Calibri"/>
        </w:rPr>
        <w:t>R&amp;D collaboration (above 40%</w:t>
      </w:r>
      <w:r w:rsidR="00FA2819" w:rsidRPr="008C618A">
        <w:rPr>
          <w:rFonts w:ascii="Calibri" w:hAnsi="Calibri" w:cs="Calibri"/>
        </w:rPr>
        <w:t xml:space="preserve"> share of total investment</w:t>
      </w:r>
      <w:r w:rsidR="002E792F" w:rsidRPr="008C618A">
        <w:rPr>
          <w:rFonts w:ascii="Calibri" w:hAnsi="Calibri" w:cs="Calibri"/>
        </w:rPr>
        <w:t>)</w:t>
      </w:r>
      <w:r w:rsidR="00FA2819" w:rsidRPr="008C618A">
        <w:rPr>
          <w:rFonts w:ascii="Calibri" w:hAnsi="Calibri" w:cs="Calibri"/>
        </w:rPr>
        <w:t xml:space="preserve"> and Europe is losing out</w:t>
      </w:r>
      <w:r w:rsidR="002E792F" w:rsidRPr="008C618A">
        <w:rPr>
          <w:rFonts w:ascii="Calibri" w:hAnsi="Calibri" w:cs="Calibri"/>
        </w:rPr>
        <w:t>.</w:t>
      </w:r>
    </w:p>
    <w:p w14:paraId="29686CBB" w14:textId="77777777" w:rsidR="002E792F" w:rsidRDefault="002E792F" w:rsidP="005113E8">
      <w:pPr>
        <w:ind w:left="360"/>
        <w:jc w:val="both"/>
        <w:rPr>
          <w:rFonts w:ascii="Calibri" w:hAnsi="Calibri" w:cs="Calibri"/>
        </w:rPr>
      </w:pPr>
    </w:p>
    <w:p w14:paraId="26201841" w14:textId="77777777" w:rsidR="002E792F" w:rsidRPr="002E792F" w:rsidRDefault="002E792F" w:rsidP="005113E8">
      <w:pPr>
        <w:numPr>
          <w:ilvl w:val="0"/>
          <w:numId w:val="31"/>
        </w:numPr>
        <w:shd w:val="clear" w:color="auto" w:fill="F4F4F4"/>
        <w:tabs>
          <w:tab w:val="num" w:pos="1440"/>
        </w:tabs>
        <w:spacing w:after="240"/>
        <w:ind w:left="810"/>
        <w:jc w:val="both"/>
        <w:rPr>
          <w:rFonts w:ascii="Noto Sans" w:eastAsia="Times New Roman" w:hAnsi="Noto Sans" w:cs="Noto Sans"/>
          <w:color w:val="2B3A42"/>
          <w:sz w:val="20"/>
          <w:szCs w:val="20"/>
          <w:lang w:eastAsia="en-GB"/>
        </w:rPr>
      </w:pPr>
      <w:r w:rsidRPr="002E792F">
        <w:rPr>
          <w:rFonts w:ascii="Noto Sans" w:eastAsia="Times New Roman" w:hAnsi="Noto Sans" w:cs="Noto Sans"/>
          <w:color w:val="2B3A42"/>
          <w:sz w:val="20"/>
          <w:szCs w:val="20"/>
          <w:lang w:eastAsia="en-GB"/>
        </w:rPr>
        <w:t>The U.S. share of global early-stage R&amp;D has remained stable over the past 15 years.</w:t>
      </w:r>
    </w:p>
    <w:p w14:paraId="384F32AE" w14:textId="77777777" w:rsidR="002E792F" w:rsidRPr="002E792F" w:rsidRDefault="002E792F" w:rsidP="005113E8">
      <w:pPr>
        <w:numPr>
          <w:ilvl w:val="0"/>
          <w:numId w:val="31"/>
        </w:numPr>
        <w:shd w:val="clear" w:color="auto" w:fill="F4F4F4"/>
        <w:tabs>
          <w:tab w:val="num" w:pos="1440"/>
        </w:tabs>
        <w:spacing w:after="240"/>
        <w:ind w:left="810"/>
        <w:jc w:val="both"/>
        <w:rPr>
          <w:rFonts w:ascii="Noto Sans" w:eastAsia="Times New Roman" w:hAnsi="Noto Sans" w:cs="Noto Sans"/>
          <w:color w:val="2B3A42"/>
          <w:sz w:val="20"/>
          <w:szCs w:val="20"/>
          <w:lang w:eastAsia="en-GB"/>
        </w:rPr>
      </w:pPr>
      <w:r w:rsidRPr="002E792F">
        <w:rPr>
          <w:rFonts w:ascii="Noto Sans" w:eastAsia="Times New Roman" w:hAnsi="Noto Sans" w:cs="Noto Sans"/>
          <w:color w:val="2B3A42"/>
          <w:sz w:val="20"/>
          <w:szCs w:val="20"/>
          <w:lang w:eastAsia="en-GB"/>
        </w:rPr>
        <w:t>Europe’s share has declined from 33% to 22% over the past five years, while the absolute number of active programs declined by 175 — from 1,604 to 1,429.</w:t>
      </w:r>
    </w:p>
    <w:p w14:paraId="51581879" w14:textId="77777777" w:rsidR="00AC7A03" w:rsidRDefault="002E792F" w:rsidP="005113E8">
      <w:pPr>
        <w:numPr>
          <w:ilvl w:val="0"/>
          <w:numId w:val="31"/>
        </w:numPr>
        <w:shd w:val="clear" w:color="auto" w:fill="F4F4F4"/>
        <w:tabs>
          <w:tab w:val="num" w:pos="1440"/>
        </w:tabs>
        <w:spacing w:after="240"/>
        <w:ind w:left="810"/>
        <w:jc w:val="both"/>
        <w:rPr>
          <w:rFonts w:ascii="Noto Sans" w:eastAsia="Times New Roman" w:hAnsi="Noto Sans" w:cs="Noto Sans"/>
          <w:color w:val="2B3A42"/>
          <w:sz w:val="20"/>
          <w:szCs w:val="20"/>
          <w:lang w:eastAsia="en-GB"/>
        </w:rPr>
        <w:sectPr w:rsidR="00AC7A03" w:rsidSect="00F557B7">
          <w:headerReference w:type="default" r:id="rId10"/>
          <w:footerReference w:type="default" r:id="rId11"/>
          <w:pgSz w:w="11906" w:h="16838"/>
          <w:pgMar w:top="2160" w:right="1440" w:bottom="1843" w:left="1440" w:header="708" w:footer="708" w:gutter="0"/>
          <w:cols w:space="708"/>
          <w:docGrid w:linePitch="360"/>
        </w:sectPr>
      </w:pPr>
      <w:r w:rsidRPr="002E792F">
        <w:rPr>
          <w:rFonts w:ascii="Noto Sans" w:eastAsia="Times New Roman" w:hAnsi="Noto Sans" w:cs="Noto Sans"/>
          <w:color w:val="2B3A42"/>
          <w:sz w:val="20"/>
          <w:szCs w:val="20"/>
          <w:lang w:eastAsia="en-GB"/>
        </w:rPr>
        <w:t>Products from China-headquartered companies now represent 12% of the early-stage pipeline, up from 2% a decade ago.</w:t>
      </w:r>
    </w:p>
    <w:p w14:paraId="3BAFBCF0" w14:textId="5355A983" w:rsidR="002E0603" w:rsidRPr="008C618A" w:rsidRDefault="002E792F" w:rsidP="005113E8">
      <w:pPr>
        <w:pStyle w:val="ListParagraph"/>
        <w:numPr>
          <w:ilvl w:val="0"/>
          <w:numId w:val="36"/>
        </w:numPr>
        <w:jc w:val="both"/>
        <w:rPr>
          <w:rFonts w:ascii="Calibri" w:hAnsi="Calibri" w:cs="Calibri"/>
        </w:rPr>
      </w:pPr>
      <w:r w:rsidRPr="008C618A">
        <w:rPr>
          <w:rFonts w:ascii="Calibri" w:hAnsi="Calibri" w:cs="Calibri"/>
        </w:rPr>
        <w:lastRenderedPageBreak/>
        <w:t>There a</w:t>
      </w:r>
      <w:r w:rsidR="004F7429" w:rsidRPr="008C618A">
        <w:rPr>
          <w:rFonts w:ascii="Calibri" w:hAnsi="Calibri" w:cs="Calibri"/>
        </w:rPr>
        <w:t xml:space="preserve">re multiple reasons for these trends as </w:t>
      </w:r>
      <w:r w:rsidR="00FA2819" w:rsidRPr="008C618A">
        <w:rPr>
          <w:rFonts w:ascii="Calibri" w:hAnsi="Calibri" w:cs="Calibri"/>
        </w:rPr>
        <w:t xml:space="preserve">the </w:t>
      </w:r>
      <w:r w:rsidR="004F7429" w:rsidRPr="008C618A">
        <w:rPr>
          <w:rFonts w:ascii="Calibri" w:hAnsi="Calibri" w:cs="Calibri"/>
        </w:rPr>
        <w:t xml:space="preserve">IQVIA </w:t>
      </w:r>
      <w:r w:rsidR="00FA2819" w:rsidRPr="008C618A">
        <w:rPr>
          <w:rFonts w:ascii="Calibri" w:hAnsi="Calibri" w:cs="Calibri"/>
        </w:rPr>
        <w:t xml:space="preserve">report </w:t>
      </w:r>
      <w:r w:rsidR="004F7429" w:rsidRPr="008C618A">
        <w:rPr>
          <w:rFonts w:ascii="Calibri" w:hAnsi="Calibri" w:cs="Calibri"/>
        </w:rPr>
        <w:t>explains</w:t>
      </w:r>
      <w:r w:rsidR="00FA2819" w:rsidRPr="008C618A">
        <w:rPr>
          <w:rFonts w:ascii="Calibri" w:hAnsi="Calibri" w:cs="Calibri"/>
        </w:rPr>
        <w:t>,</w:t>
      </w:r>
      <w:r w:rsidR="004F7429" w:rsidRPr="008C618A">
        <w:rPr>
          <w:rFonts w:ascii="Calibri" w:hAnsi="Calibri" w:cs="Calibri"/>
        </w:rPr>
        <w:t xml:space="preserve"> but that </w:t>
      </w:r>
      <w:r w:rsidR="005D0DEA" w:rsidRPr="008C618A">
        <w:rPr>
          <w:rFonts w:ascii="Calibri" w:hAnsi="Calibri" w:cs="Calibri"/>
        </w:rPr>
        <w:t xml:space="preserve">does not detract from the fact that </w:t>
      </w:r>
      <w:r w:rsidR="004F7429" w:rsidRPr="008C618A">
        <w:rPr>
          <w:rFonts w:ascii="Calibri" w:hAnsi="Calibri" w:cs="Calibri"/>
        </w:rPr>
        <w:t xml:space="preserve">clear </w:t>
      </w:r>
      <w:r w:rsidR="004B6AA0" w:rsidRPr="008C618A">
        <w:rPr>
          <w:rFonts w:ascii="Calibri" w:hAnsi="Calibri" w:cs="Calibri"/>
        </w:rPr>
        <w:t xml:space="preserve">and simple </w:t>
      </w:r>
      <w:r w:rsidR="00FA2819" w:rsidRPr="008C618A">
        <w:rPr>
          <w:rFonts w:ascii="Calibri" w:hAnsi="Calibri" w:cs="Calibri"/>
        </w:rPr>
        <w:t xml:space="preserve">competition </w:t>
      </w:r>
      <w:r w:rsidR="004F7429" w:rsidRPr="008C618A">
        <w:rPr>
          <w:rFonts w:ascii="Calibri" w:hAnsi="Calibri" w:cs="Calibri"/>
        </w:rPr>
        <w:t>guid</w:t>
      </w:r>
      <w:r w:rsidR="004B6AA0" w:rsidRPr="008C618A">
        <w:rPr>
          <w:rFonts w:ascii="Calibri" w:hAnsi="Calibri" w:cs="Calibri"/>
        </w:rPr>
        <w:t>elines</w:t>
      </w:r>
      <w:r w:rsidR="004F7429" w:rsidRPr="008C618A">
        <w:rPr>
          <w:rFonts w:ascii="Calibri" w:hAnsi="Calibri" w:cs="Calibri"/>
        </w:rPr>
        <w:t xml:space="preserve"> that encourage collaborative R&amp;D </w:t>
      </w:r>
      <w:r w:rsidR="00FA2819" w:rsidRPr="008C618A">
        <w:rPr>
          <w:rFonts w:ascii="Calibri" w:hAnsi="Calibri" w:cs="Calibri"/>
        </w:rPr>
        <w:t xml:space="preserve">efforts </w:t>
      </w:r>
      <w:r w:rsidR="005D0DEA" w:rsidRPr="008C618A">
        <w:rPr>
          <w:rFonts w:ascii="Calibri" w:hAnsi="Calibri" w:cs="Calibri"/>
        </w:rPr>
        <w:t>have a role to play</w:t>
      </w:r>
      <w:r w:rsidR="004F7429" w:rsidRPr="008C618A">
        <w:rPr>
          <w:rFonts w:ascii="Calibri" w:hAnsi="Calibri" w:cs="Calibri"/>
        </w:rPr>
        <w:t xml:space="preserve"> in pro</w:t>
      </w:r>
      <w:r w:rsidR="005D0DEA" w:rsidRPr="008C618A">
        <w:rPr>
          <w:rFonts w:ascii="Calibri" w:hAnsi="Calibri" w:cs="Calibri"/>
        </w:rPr>
        <w:t>mo</w:t>
      </w:r>
      <w:r w:rsidR="004F7429" w:rsidRPr="008C618A">
        <w:rPr>
          <w:rFonts w:ascii="Calibri" w:hAnsi="Calibri" w:cs="Calibri"/>
        </w:rPr>
        <w:t xml:space="preserve">ting the EU as an R&amp;D </w:t>
      </w:r>
      <w:r w:rsidR="00FA2819" w:rsidRPr="008C618A">
        <w:rPr>
          <w:rFonts w:ascii="Calibri" w:hAnsi="Calibri" w:cs="Calibri"/>
        </w:rPr>
        <w:t>investment-</w:t>
      </w:r>
      <w:r w:rsidR="004F7429" w:rsidRPr="008C618A">
        <w:rPr>
          <w:rFonts w:ascii="Calibri" w:hAnsi="Calibri" w:cs="Calibri"/>
        </w:rPr>
        <w:t>friendly destination.</w:t>
      </w:r>
      <w:r w:rsidR="005113E8">
        <w:rPr>
          <w:rFonts w:ascii="Calibri" w:hAnsi="Calibri" w:cs="Calibri"/>
        </w:rPr>
        <w:t xml:space="preserve"> </w:t>
      </w:r>
    </w:p>
    <w:p w14:paraId="5FF01B00" w14:textId="77777777" w:rsidR="00890534" w:rsidRDefault="00890534">
      <w:pPr>
        <w:rPr>
          <w:rFonts w:ascii="Calibri" w:hAnsi="Calibri" w:cs="Calibri"/>
        </w:rPr>
      </w:pPr>
    </w:p>
    <w:p w14:paraId="1948CAB6" w14:textId="77777777" w:rsidR="00F74A4F" w:rsidRDefault="00F74A4F">
      <w:pPr>
        <w:rPr>
          <w:rFonts w:ascii="Calibri" w:hAnsi="Calibri" w:cs="Calibri"/>
        </w:rPr>
      </w:pPr>
    </w:p>
    <w:p w14:paraId="18955753" w14:textId="77777777" w:rsidR="006F4E07" w:rsidRPr="00C5758B" w:rsidRDefault="006C2BE4" w:rsidP="005113E8">
      <w:pPr>
        <w:pStyle w:val="Heading1"/>
        <w:jc w:val="both"/>
      </w:pPr>
      <w:r>
        <w:t>2.</w:t>
      </w:r>
      <w:r>
        <w:tab/>
      </w:r>
      <w:r w:rsidR="00B12287">
        <w:t>T</w:t>
      </w:r>
      <w:r w:rsidR="006F4E07" w:rsidRPr="00C5758B">
        <w:t xml:space="preserve">he Proposed Changes </w:t>
      </w:r>
      <w:r w:rsidR="00BF1EE5" w:rsidRPr="00C5758B">
        <w:t>Further</w:t>
      </w:r>
      <w:r w:rsidR="006F4E07" w:rsidRPr="00C5758B">
        <w:t xml:space="preserve"> Limit the Scope of the R&amp;D Block Exemption</w:t>
      </w:r>
    </w:p>
    <w:p w14:paraId="3443CF43" w14:textId="77777777" w:rsidR="006F4E07" w:rsidRPr="00C5758B" w:rsidRDefault="006F4E07">
      <w:pPr>
        <w:rPr>
          <w:rFonts w:ascii="Calibri" w:hAnsi="Calibri" w:cs="Calibri"/>
        </w:rPr>
      </w:pPr>
    </w:p>
    <w:p w14:paraId="28731B74" w14:textId="0D1597E9" w:rsidR="00CE4101" w:rsidRPr="008C618A" w:rsidRDefault="005D0DEA" w:rsidP="005113E8">
      <w:pPr>
        <w:pStyle w:val="ListParagraph"/>
        <w:numPr>
          <w:ilvl w:val="0"/>
          <w:numId w:val="36"/>
        </w:numPr>
        <w:jc w:val="both"/>
        <w:rPr>
          <w:rFonts w:ascii="Calibri" w:hAnsi="Calibri" w:cs="Calibri"/>
        </w:rPr>
      </w:pPr>
      <w:r w:rsidRPr="008C618A">
        <w:rPr>
          <w:rFonts w:ascii="Calibri" w:hAnsi="Calibri" w:cs="Calibri"/>
        </w:rPr>
        <w:t>T</w:t>
      </w:r>
      <w:r w:rsidR="006F4E07" w:rsidRPr="008C618A">
        <w:rPr>
          <w:rFonts w:ascii="Calibri" w:hAnsi="Calibri" w:cs="Calibri"/>
        </w:rPr>
        <w:t xml:space="preserve">he Commission is proposing to </w:t>
      </w:r>
      <w:r w:rsidR="00FA2819" w:rsidRPr="008C618A">
        <w:rPr>
          <w:rFonts w:ascii="Calibri" w:hAnsi="Calibri" w:cs="Calibri"/>
        </w:rPr>
        <w:t>further restrict the already limited scope of the R&amp;D block exemption with</w:t>
      </w:r>
      <w:r w:rsidR="006F4E07" w:rsidRPr="008C618A">
        <w:rPr>
          <w:rFonts w:ascii="Calibri" w:hAnsi="Calibri" w:cs="Calibri"/>
        </w:rPr>
        <w:t xml:space="preserve"> the addition of a new threshold that would exclude agreements from the safe harbour where the parties compete on innovation and where fewer than three competing R&amp;D efforts would remain in addition to and comparable with those of the parties to the R&amp;D agreement.</w:t>
      </w:r>
      <w:r w:rsidR="005113E8">
        <w:rPr>
          <w:rFonts w:ascii="Calibri" w:hAnsi="Calibri" w:cs="Calibri"/>
        </w:rPr>
        <w:t xml:space="preserve"> </w:t>
      </w:r>
    </w:p>
    <w:p w14:paraId="62F0EA02" w14:textId="77777777" w:rsidR="004B6AA0" w:rsidRDefault="004B6AA0" w:rsidP="005113E8">
      <w:pPr>
        <w:jc w:val="both"/>
        <w:rPr>
          <w:rFonts w:ascii="Calibri" w:hAnsi="Calibri" w:cs="Calibri"/>
        </w:rPr>
      </w:pPr>
    </w:p>
    <w:p w14:paraId="4F4E49C2" w14:textId="0FB86D68" w:rsidR="005D0DEA" w:rsidRPr="008C618A" w:rsidRDefault="005D0DEA" w:rsidP="005113E8">
      <w:pPr>
        <w:pStyle w:val="ListParagraph"/>
        <w:numPr>
          <w:ilvl w:val="0"/>
          <w:numId w:val="36"/>
        </w:numPr>
        <w:jc w:val="both"/>
        <w:rPr>
          <w:rFonts w:ascii="Calibri" w:hAnsi="Calibri" w:cs="Calibri"/>
        </w:rPr>
      </w:pPr>
      <w:r w:rsidRPr="008C618A">
        <w:rPr>
          <w:rFonts w:ascii="Calibri" w:hAnsi="Calibri" w:cs="Calibri"/>
        </w:rPr>
        <w:t>Competing R&amp;D efforts encompasses the notions of "competition in innovation" and "R&amp;D poles".</w:t>
      </w:r>
      <w:r w:rsidR="005113E8">
        <w:rPr>
          <w:rFonts w:ascii="Calibri" w:hAnsi="Calibri" w:cs="Calibri"/>
        </w:rPr>
        <w:t xml:space="preserve"> </w:t>
      </w:r>
      <w:r w:rsidRPr="008C618A">
        <w:rPr>
          <w:rFonts w:ascii="Calibri" w:hAnsi="Calibri" w:cs="Calibri"/>
        </w:rPr>
        <w:t>(Innovation competition refers to R&amp;D efforts for new products/technologies that create their own new market.</w:t>
      </w:r>
      <w:r w:rsidR="005113E8">
        <w:rPr>
          <w:rFonts w:ascii="Calibri" w:hAnsi="Calibri" w:cs="Calibri"/>
        </w:rPr>
        <w:t xml:space="preserve"> </w:t>
      </w:r>
      <w:r w:rsidRPr="008C618A">
        <w:rPr>
          <w:rFonts w:ascii="Calibri" w:hAnsi="Calibri" w:cs="Calibri"/>
        </w:rPr>
        <w:t>R&amp;D poles refer to R&amp;D efforts directed primarily towards a specific aim or objective arising out of the R&amp;D agreement that cannot yet be defined as a product or technology.)</w:t>
      </w:r>
      <w:r w:rsidR="005113E8">
        <w:rPr>
          <w:rFonts w:ascii="Calibri" w:hAnsi="Calibri" w:cs="Calibri"/>
        </w:rPr>
        <w:t xml:space="preserve"> </w:t>
      </w:r>
    </w:p>
    <w:p w14:paraId="09707B0F" w14:textId="77777777" w:rsidR="005D0DEA" w:rsidRDefault="005D0DEA" w:rsidP="005113E8">
      <w:pPr>
        <w:jc w:val="both"/>
        <w:rPr>
          <w:rFonts w:ascii="Calibri" w:hAnsi="Calibri" w:cs="Calibri"/>
        </w:rPr>
      </w:pPr>
    </w:p>
    <w:p w14:paraId="3B2DB149" w14:textId="58CD63E4" w:rsidR="005D0DEA" w:rsidRPr="008C618A" w:rsidRDefault="005D0DEA" w:rsidP="005113E8">
      <w:pPr>
        <w:pStyle w:val="ListParagraph"/>
        <w:numPr>
          <w:ilvl w:val="0"/>
          <w:numId w:val="36"/>
        </w:numPr>
        <w:jc w:val="both"/>
        <w:rPr>
          <w:rFonts w:ascii="Calibri" w:hAnsi="Calibri" w:cs="Calibri"/>
        </w:rPr>
      </w:pPr>
      <w:r w:rsidRPr="008C618A">
        <w:rPr>
          <w:rFonts w:ascii="Calibri" w:hAnsi="Calibri" w:cs="Calibri"/>
        </w:rPr>
        <w:t>It is far from clear why this change is necessary.</w:t>
      </w:r>
      <w:r w:rsidR="005113E8">
        <w:rPr>
          <w:rFonts w:ascii="Calibri" w:hAnsi="Calibri" w:cs="Calibri"/>
        </w:rPr>
        <w:t xml:space="preserve"> </w:t>
      </w:r>
      <w:r w:rsidRPr="008C618A">
        <w:rPr>
          <w:rFonts w:ascii="Calibri" w:hAnsi="Calibri" w:cs="Calibri"/>
        </w:rPr>
        <w:t>Innovation for new products or in basic research that is pre-product should surely be incentivised.</w:t>
      </w:r>
      <w:r w:rsidR="005113E8">
        <w:rPr>
          <w:rFonts w:ascii="Calibri" w:hAnsi="Calibri" w:cs="Calibri"/>
        </w:rPr>
        <w:t xml:space="preserve"> </w:t>
      </w:r>
      <w:r w:rsidRPr="008C618A">
        <w:rPr>
          <w:rFonts w:ascii="Calibri" w:hAnsi="Calibri" w:cs="Calibri"/>
        </w:rPr>
        <w:t>There is a strong argument that collaborative research in innovation/R&amp;D poles should fall outside the scope of Article 101 altogether.</w:t>
      </w:r>
      <w:r w:rsidR="005113E8">
        <w:rPr>
          <w:rFonts w:ascii="Calibri" w:hAnsi="Calibri" w:cs="Calibri"/>
        </w:rPr>
        <w:t xml:space="preserve"> </w:t>
      </w:r>
    </w:p>
    <w:p w14:paraId="62F71842" w14:textId="77777777" w:rsidR="005D0DEA" w:rsidRDefault="005D0DEA" w:rsidP="005113E8">
      <w:pPr>
        <w:jc w:val="both"/>
        <w:rPr>
          <w:rFonts w:ascii="Calibri" w:hAnsi="Calibri" w:cs="Calibri"/>
        </w:rPr>
      </w:pPr>
    </w:p>
    <w:p w14:paraId="3C6A748B" w14:textId="3090E53F" w:rsidR="005D0DEA" w:rsidRPr="008C618A" w:rsidRDefault="005D0DEA" w:rsidP="005113E8">
      <w:pPr>
        <w:pStyle w:val="ListParagraph"/>
        <w:numPr>
          <w:ilvl w:val="0"/>
          <w:numId w:val="36"/>
        </w:numPr>
        <w:jc w:val="both"/>
        <w:rPr>
          <w:rFonts w:ascii="Calibri" w:hAnsi="Calibri" w:cs="Calibri"/>
        </w:rPr>
      </w:pPr>
      <w:r w:rsidRPr="008C618A">
        <w:rPr>
          <w:rFonts w:ascii="Calibri" w:hAnsi="Calibri" w:cs="Calibri"/>
        </w:rPr>
        <w:t>But the draft guidelines warn that "innovation may be restricted even by a pure R&amp;D agreement"</w:t>
      </w:r>
      <w:r w:rsidR="006C2BE4">
        <w:rPr>
          <w:rFonts w:ascii="Calibri" w:hAnsi="Calibri" w:cs="Calibri"/>
        </w:rPr>
        <w:t>,</w:t>
      </w:r>
      <w:r w:rsidRPr="008C618A">
        <w:rPr>
          <w:rFonts w:ascii="Calibri" w:hAnsi="Calibri" w:cs="Calibri"/>
        </w:rPr>
        <w:t xml:space="preserve"> merely acknowledg</w:t>
      </w:r>
      <w:r w:rsidR="004B6AA0" w:rsidRPr="008C618A">
        <w:rPr>
          <w:rFonts w:ascii="Calibri" w:hAnsi="Calibri" w:cs="Calibri"/>
        </w:rPr>
        <w:t>ing</w:t>
      </w:r>
      <w:r w:rsidRPr="008C618A">
        <w:rPr>
          <w:rFonts w:ascii="Calibri" w:hAnsi="Calibri" w:cs="Calibri"/>
        </w:rPr>
        <w:t xml:space="preserve"> that this is unlikely where there are competing R&amp;D efforts (§88).</w:t>
      </w:r>
      <w:r w:rsidR="005113E8">
        <w:rPr>
          <w:rFonts w:ascii="Calibri" w:hAnsi="Calibri" w:cs="Calibri"/>
        </w:rPr>
        <w:t xml:space="preserve"> </w:t>
      </w:r>
    </w:p>
    <w:p w14:paraId="5B05C6CB" w14:textId="77777777" w:rsidR="005D0DEA" w:rsidRDefault="005D0DEA" w:rsidP="005113E8">
      <w:pPr>
        <w:jc w:val="both"/>
        <w:rPr>
          <w:rFonts w:ascii="Calibri" w:hAnsi="Calibri" w:cs="Calibri"/>
        </w:rPr>
      </w:pPr>
    </w:p>
    <w:p w14:paraId="07A852D5" w14:textId="6076D123" w:rsidR="006F4E07" w:rsidRPr="008C618A" w:rsidRDefault="00FA2819" w:rsidP="005113E8">
      <w:pPr>
        <w:pStyle w:val="ListParagraph"/>
        <w:numPr>
          <w:ilvl w:val="0"/>
          <w:numId w:val="36"/>
        </w:numPr>
        <w:jc w:val="both"/>
        <w:rPr>
          <w:rFonts w:ascii="Calibri" w:hAnsi="Calibri" w:cs="Calibri"/>
        </w:rPr>
      </w:pPr>
      <w:r w:rsidRPr="008C618A">
        <w:rPr>
          <w:rFonts w:ascii="Calibri" w:hAnsi="Calibri" w:cs="Calibri"/>
        </w:rPr>
        <w:t xml:space="preserve">This </w:t>
      </w:r>
      <w:r w:rsidR="00746DE0" w:rsidRPr="008C618A">
        <w:rPr>
          <w:rFonts w:ascii="Calibri" w:hAnsi="Calibri" w:cs="Calibri"/>
        </w:rPr>
        <w:t xml:space="preserve">underlying scepticism about </w:t>
      </w:r>
      <w:r w:rsidR="006C2BE4">
        <w:rPr>
          <w:rFonts w:ascii="Calibri" w:hAnsi="Calibri" w:cs="Calibri"/>
        </w:rPr>
        <w:t xml:space="preserve">joint </w:t>
      </w:r>
      <w:r w:rsidR="00746DE0" w:rsidRPr="008C618A">
        <w:rPr>
          <w:rFonts w:ascii="Calibri" w:hAnsi="Calibri" w:cs="Calibri"/>
        </w:rPr>
        <w:t xml:space="preserve">R&amp;D </w:t>
      </w:r>
      <w:r w:rsidR="006C2BE4">
        <w:rPr>
          <w:rFonts w:ascii="Calibri" w:hAnsi="Calibri" w:cs="Calibri"/>
        </w:rPr>
        <w:t xml:space="preserve">efforts </w:t>
      </w:r>
      <w:r w:rsidR="00746DE0" w:rsidRPr="008C618A">
        <w:rPr>
          <w:rFonts w:ascii="Calibri" w:hAnsi="Calibri" w:cs="Calibri"/>
        </w:rPr>
        <w:t>is a fundamental fault line</w:t>
      </w:r>
      <w:r w:rsidR="005D0DEA" w:rsidRPr="008C618A">
        <w:rPr>
          <w:rFonts w:ascii="Calibri" w:hAnsi="Calibri" w:cs="Calibri"/>
        </w:rPr>
        <w:t>. T</w:t>
      </w:r>
      <w:r w:rsidR="00746DE0" w:rsidRPr="008C618A">
        <w:rPr>
          <w:rFonts w:ascii="Calibri" w:hAnsi="Calibri" w:cs="Calibri"/>
        </w:rPr>
        <w:t xml:space="preserve">he exercise becomes </w:t>
      </w:r>
      <w:r w:rsidR="006C2BE4">
        <w:rPr>
          <w:rFonts w:ascii="Calibri" w:hAnsi="Calibri" w:cs="Calibri"/>
        </w:rPr>
        <w:t>highly theoretical</w:t>
      </w:r>
      <w:r w:rsidR="00746DE0" w:rsidRPr="008C618A">
        <w:rPr>
          <w:rFonts w:ascii="Calibri" w:hAnsi="Calibri" w:cs="Calibri"/>
        </w:rPr>
        <w:t xml:space="preserve">: a long list of potential </w:t>
      </w:r>
      <w:r w:rsidR="006C2BE4">
        <w:rPr>
          <w:rFonts w:ascii="Calibri" w:hAnsi="Calibri" w:cs="Calibri"/>
        </w:rPr>
        <w:t>hypothetical</w:t>
      </w:r>
      <w:r w:rsidR="00746DE0" w:rsidRPr="008C618A">
        <w:rPr>
          <w:rFonts w:ascii="Calibri" w:hAnsi="Calibri" w:cs="Calibri"/>
        </w:rPr>
        <w:t xml:space="preserve"> harms, and a short pro forma acknowledgment that R&amp;D agreements can lead to efficiency gains</w:t>
      </w:r>
      <w:r w:rsidRPr="008C618A">
        <w:rPr>
          <w:rFonts w:ascii="Calibri" w:hAnsi="Calibri" w:cs="Calibri"/>
        </w:rPr>
        <w:t>.</w:t>
      </w:r>
      <w:r w:rsidR="005113E8">
        <w:rPr>
          <w:rFonts w:ascii="Calibri" w:hAnsi="Calibri" w:cs="Calibri"/>
        </w:rPr>
        <w:t xml:space="preserve"> </w:t>
      </w:r>
      <w:r w:rsidR="00746DE0" w:rsidRPr="008C618A">
        <w:rPr>
          <w:rFonts w:ascii="Calibri" w:hAnsi="Calibri" w:cs="Calibri"/>
        </w:rPr>
        <w:t>This balance urgently needs to be reversed.</w:t>
      </w:r>
      <w:r w:rsidR="005113E8">
        <w:rPr>
          <w:rFonts w:ascii="Calibri" w:hAnsi="Calibri" w:cs="Calibri"/>
        </w:rPr>
        <w:t xml:space="preserve"> </w:t>
      </w:r>
    </w:p>
    <w:p w14:paraId="5F7E7D3C" w14:textId="77777777" w:rsidR="006F4E07" w:rsidRPr="00C5758B" w:rsidRDefault="006F4E07" w:rsidP="005113E8">
      <w:pPr>
        <w:jc w:val="both"/>
        <w:rPr>
          <w:rFonts w:ascii="Calibri" w:hAnsi="Calibri" w:cs="Calibri"/>
        </w:rPr>
      </w:pPr>
    </w:p>
    <w:p w14:paraId="1297480F" w14:textId="200849FC" w:rsidR="00F03924" w:rsidRPr="008C618A" w:rsidRDefault="008719E7" w:rsidP="005113E8">
      <w:pPr>
        <w:pStyle w:val="ListParagraph"/>
        <w:numPr>
          <w:ilvl w:val="0"/>
          <w:numId w:val="36"/>
        </w:numPr>
        <w:jc w:val="both"/>
        <w:rPr>
          <w:rFonts w:ascii="Calibri" w:hAnsi="Calibri" w:cs="Calibri"/>
        </w:rPr>
      </w:pPr>
      <w:r w:rsidRPr="008C618A">
        <w:rPr>
          <w:rFonts w:ascii="Calibri" w:hAnsi="Calibri" w:cs="Calibri"/>
        </w:rPr>
        <w:t>T</w:t>
      </w:r>
      <w:r w:rsidR="004613E5" w:rsidRPr="008C618A">
        <w:rPr>
          <w:rFonts w:ascii="Calibri" w:hAnsi="Calibri" w:cs="Calibri"/>
        </w:rPr>
        <w:t xml:space="preserve">he new </w:t>
      </w:r>
      <w:r w:rsidR="006C2BE4">
        <w:rPr>
          <w:rFonts w:ascii="Calibri" w:hAnsi="Calibri" w:cs="Calibri"/>
        </w:rPr>
        <w:t>"</w:t>
      </w:r>
      <w:r w:rsidR="005D0DEA" w:rsidRPr="008C618A">
        <w:rPr>
          <w:rFonts w:ascii="Calibri" w:hAnsi="Calibri" w:cs="Calibri"/>
        </w:rPr>
        <w:t xml:space="preserve">3+1 </w:t>
      </w:r>
      <w:r w:rsidR="004613E5" w:rsidRPr="008C618A">
        <w:rPr>
          <w:rFonts w:ascii="Calibri" w:hAnsi="Calibri" w:cs="Calibri"/>
        </w:rPr>
        <w:t>rule</w:t>
      </w:r>
      <w:r w:rsidR="006C2BE4">
        <w:rPr>
          <w:rFonts w:ascii="Calibri" w:hAnsi="Calibri" w:cs="Calibri"/>
        </w:rPr>
        <w:t>"</w:t>
      </w:r>
      <w:r w:rsidR="004613E5" w:rsidRPr="008C618A">
        <w:rPr>
          <w:rFonts w:ascii="Calibri" w:hAnsi="Calibri" w:cs="Calibri"/>
        </w:rPr>
        <w:t xml:space="preserve"> assume</w:t>
      </w:r>
      <w:r w:rsidR="005D0DEA" w:rsidRPr="008C618A">
        <w:rPr>
          <w:rFonts w:ascii="Calibri" w:hAnsi="Calibri" w:cs="Calibri"/>
        </w:rPr>
        <w:t>s</w:t>
      </w:r>
      <w:r w:rsidR="004613E5" w:rsidRPr="008C618A">
        <w:rPr>
          <w:rFonts w:ascii="Calibri" w:hAnsi="Calibri" w:cs="Calibri"/>
        </w:rPr>
        <w:t xml:space="preserve"> some dampening of competition that would otherwise occur</w:t>
      </w:r>
      <w:r w:rsidR="00CE4101" w:rsidRPr="008C618A">
        <w:rPr>
          <w:rFonts w:ascii="Calibri" w:hAnsi="Calibri" w:cs="Calibri"/>
        </w:rPr>
        <w:t>.</w:t>
      </w:r>
      <w:r w:rsidR="005113E8">
        <w:rPr>
          <w:rFonts w:ascii="Calibri" w:hAnsi="Calibri" w:cs="Calibri"/>
        </w:rPr>
        <w:t xml:space="preserve"> </w:t>
      </w:r>
      <w:r w:rsidR="00826C5E" w:rsidRPr="008C618A">
        <w:rPr>
          <w:rFonts w:ascii="Calibri" w:hAnsi="Calibri" w:cs="Calibri"/>
        </w:rPr>
        <w:t xml:space="preserve">Is the concern that, </w:t>
      </w:r>
      <w:r w:rsidR="00CE4101" w:rsidRPr="008C618A">
        <w:rPr>
          <w:rFonts w:ascii="Calibri" w:hAnsi="Calibri" w:cs="Calibri"/>
        </w:rPr>
        <w:t xml:space="preserve">absent competing R&amp;D efforts, </w:t>
      </w:r>
      <w:r w:rsidR="006C2BE4">
        <w:rPr>
          <w:rFonts w:ascii="Calibri" w:hAnsi="Calibri" w:cs="Calibri"/>
        </w:rPr>
        <w:t xml:space="preserve">we would be better off if </w:t>
      </w:r>
      <w:r w:rsidR="00F03924" w:rsidRPr="008C618A">
        <w:rPr>
          <w:rFonts w:ascii="Calibri" w:hAnsi="Calibri" w:cs="Calibri"/>
        </w:rPr>
        <w:t xml:space="preserve">the parties </w:t>
      </w:r>
      <w:r w:rsidR="006C2BE4">
        <w:rPr>
          <w:rFonts w:ascii="Calibri" w:hAnsi="Calibri" w:cs="Calibri"/>
        </w:rPr>
        <w:t>ca</w:t>
      </w:r>
      <w:r w:rsidR="00F03924" w:rsidRPr="008C618A">
        <w:rPr>
          <w:rFonts w:ascii="Calibri" w:hAnsi="Calibri" w:cs="Calibri"/>
        </w:rPr>
        <w:t>me to market themselves or f</w:t>
      </w:r>
      <w:r w:rsidR="006C2BE4">
        <w:rPr>
          <w:rFonts w:ascii="Calibri" w:hAnsi="Calibri" w:cs="Calibri"/>
        </w:rPr>
        <w:t>oun</w:t>
      </w:r>
      <w:r w:rsidR="00F03924" w:rsidRPr="008C618A">
        <w:rPr>
          <w:rFonts w:ascii="Calibri" w:hAnsi="Calibri" w:cs="Calibri"/>
        </w:rPr>
        <w:t>d alternative collaborators with no overlap</w:t>
      </w:r>
      <w:r w:rsidR="006C2BE4">
        <w:rPr>
          <w:rFonts w:ascii="Calibri" w:hAnsi="Calibri" w:cs="Calibri"/>
        </w:rPr>
        <w:t>ping</w:t>
      </w:r>
      <w:r w:rsidR="00F03924" w:rsidRPr="008C618A">
        <w:rPr>
          <w:rFonts w:ascii="Calibri" w:hAnsi="Calibri" w:cs="Calibri"/>
        </w:rPr>
        <w:t xml:space="preserve"> R&amp;D efforts</w:t>
      </w:r>
      <w:r w:rsidR="00826C5E" w:rsidRPr="008C618A">
        <w:rPr>
          <w:rFonts w:ascii="Calibri" w:hAnsi="Calibri" w:cs="Calibri"/>
        </w:rPr>
        <w:t>?</w:t>
      </w:r>
      <w:r w:rsidR="005113E8">
        <w:rPr>
          <w:rFonts w:ascii="Calibri" w:hAnsi="Calibri" w:cs="Calibri"/>
        </w:rPr>
        <w:t xml:space="preserve"> </w:t>
      </w:r>
      <w:r w:rsidR="00CE4101" w:rsidRPr="008C618A">
        <w:rPr>
          <w:rFonts w:ascii="Calibri" w:hAnsi="Calibri" w:cs="Calibri"/>
        </w:rPr>
        <w:t xml:space="preserve">The guidelines shed </w:t>
      </w:r>
      <w:r w:rsidR="0093273B">
        <w:rPr>
          <w:rFonts w:ascii="Calibri" w:hAnsi="Calibri" w:cs="Calibri"/>
        </w:rPr>
        <w:t>little</w:t>
      </w:r>
      <w:r w:rsidR="00CE4101" w:rsidRPr="008C618A">
        <w:rPr>
          <w:rFonts w:ascii="Calibri" w:hAnsi="Calibri" w:cs="Calibri"/>
        </w:rPr>
        <w:t xml:space="preserve"> light</w:t>
      </w:r>
      <w:r w:rsidR="00E337E8" w:rsidRPr="008C618A">
        <w:rPr>
          <w:rFonts w:ascii="Calibri" w:hAnsi="Calibri" w:cs="Calibri"/>
        </w:rPr>
        <w:t xml:space="preserve"> </w:t>
      </w:r>
      <w:r w:rsidR="00A32C19" w:rsidRPr="008C618A">
        <w:rPr>
          <w:rFonts w:ascii="Calibri" w:hAnsi="Calibri" w:cs="Calibri"/>
        </w:rPr>
        <w:t xml:space="preserve">on the nature of the </w:t>
      </w:r>
      <w:r w:rsidR="0093273B">
        <w:rPr>
          <w:rFonts w:ascii="Calibri" w:hAnsi="Calibri" w:cs="Calibri"/>
        </w:rPr>
        <w:t xml:space="preserve">perceived underlying competition </w:t>
      </w:r>
      <w:r w:rsidR="00A32C19" w:rsidRPr="008C618A">
        <w:rPr>
          <w:rFonts w:ascii="Calibri" w:hAnsi="Calibri" w:cs="Calibri"/>
        </w:rPr>
        <w:t xml:space="preserve">problem </w:t>
      </w:r>
      <w:r w:rsidR="00E337E8" w:rsidRPr="008C618A">
        <w:rPr>
          <w:rFonts w:ascii="Calibri" w:hAnsi="Calibri" w:cs="Calibri"/>
        </w:rPr>
        <w:t xml:space="preserve">beyond a statement </w:t>
      </w:r>
      <w:r w:rsidR="00CE4101" w:rsidRPr="008C618A">
        <w:rPr>
          <w:rFonts w:ascii="Calibri" w:hAnsi="Calibri" w:cs="Calibri"/>
        </w:rPr>
        <w:t>that the 3+1 rule provide</w:t>
      </w:r>
      <w:r w:rsidR="00E337E8" w:rsidRPr="008C618A">
        <w:rPr>
          <w:rFonts w:ascii="Calibri" w:hAnsi="Calibri" w:cs="Calibri"/>
        </w:rPr>
        <w:t>s</w:t>
      </w:r>
      <w:r w:rsidR="00CE4101" w:rsidRPr="008C618A">
        <w:rPr>
          <w:rFonts w:ascii="Calibri" w:hAnsi="Calibri" w:cs="Calibri"/>
        </w:rPr>
        <w:t xml:space="preserve"> assurances "that the parties will likely not be able to profitably maintain innovation below competitive levels for a longer period of time" (§79).</w:t>
      </w:r>
      <w:r w:rsidR="005113E8">
        <w:rPr>
          <w:rFonts w:ascii="Calibri" w:hAnsi="Calibri" w:cs="Calibri"/>
        </w:rPr>
        <w:t xml:space="preserve"> </w:t>
      </w:r>
      <w:r w:rsidR="0093273B">
        <w:rPr>
          <w:rFonts w:ascii="Calibri" w:hAnsi="Calibri" w:cs="Calibri"/>
        </w:rPr>
        <w:t xml:space="preserve">This is too vague a justification. </w:t>
      </w:r>
    </w:p>
    <w:p w14:paraId="50B41215" w14:textId="77777777" w:rsidR="004C4854" w:rsidRDefault="004C4854" w:rsidP="005113E8">
      <w:pPr>
        <w:jc w:val="both"/>
        <w:rPr>
          <w:rFonts w:ascii="Calibri" w:hAnsi="Calibri" w:cs="Calibri"/>
        </w:rPr>
      </w:pPr>
    </w:p>
    <w:p w14:paraId="27269708" w14:textId="77777777" w:rsidR="00971417" w:rsidRPr="008C618A" w:rsidRDefault="004C4854" w:rsidP="005113E8">
      <w:pPr>
        <w:pStyle w:val="ListParagraph"/>
        <w:numPr>
          <w:ilvl w:val="0"/>
          <w:numId w:val="36"/>
        </w:numPr>
        <w:jc w:val="both"/>
        <w:rPr>
          <w:rFonts w:ascii="Calibri" w:hAnsi="Calibri" w:cs="Calibri"/>
        </w:rPr>
      </w:pPr>
      <w:r w:rsidRPr="008C618A">
        <w:rPr>
          <w:rFonts w:ascii="Calibri" w:hAnsi="Calibri" w:cs="Calibri"/>
        </w:rPr>
        <w:t>Two paragraphs of the proposed guidelines hint at possible</w:t>
      </w:r>
      <w:r w:rsidR="00A32C19" w:rsidRPr="008C618A">
        <w:rPr>
          <w:rFonts w:ascii="Calibri" w:hAnsi="Calibri" w:cs="Calibri"/>
        </w:rPr>
        <w:t xml:space="preserve"> hypothetical</w:t>
      </w:r>
      <w:r w:rsidRPr="008C618A">
        <w:rPr>
          <w:rFonts w:ascii="Calibri" w:hAnsi="Calibri" w:cs="Calibri"/>
        </w:rPr>
        <w:t xml:space="preserve"> "killer"</w:t>
      </w:r>
      <w:r w:rsidR="0093273B">
        <w:rPr>
          <w:rFonts w:ascii="Calibri" w:hAnsi="Calibri" w:cs="Calibri"/>
        </w:rPr>
        <w:t>-</w:t>
      </w:r>
      <w:r w:rsidRPr="008C618A">
        <w:rPr>
          <w:rFonts w:ascii="Calibri" w:hAnsi="Calibri" w:cs="Calibri"/>
        </w:rPr>
        <w:t>type theories of harm</w:t>
      </w:r>
      <w:r w:rsidR="00826C5E" w:rsidRPr="008C618A">
        <w:rPr>
          <w:rFonts w:ascii="Calibri" w:hAnsi="Calibri" w:cs="Calibri"/>
        </w:rPr>
        <w:t xml:space="preserve"> in justification of the 3+1 rule</w:t>
      </w:r>
      <w:r w:rsidR="00971417" w:rsidRPr="008C618A">
        <w:rPr>
          <w:rFonts w:ascii="Calibri" w:hAnsi="Calibri" w:cs="Calibri"/>
        </w:rPr>
        <w:t>:</w:t>
      </w:r>
    </w:p>
    <w:p w14:paraId="0E7CDADC" w14:textId="77777777" w:rsidR="00971417" w:rsidRDefault="00971417" w:rsidP="005113E8">
      <w:pPr>
        <w:jc w:val="both"/>
        <w:rPr>
          <w:rFonts w:ascii="Calibri" w:hAnsi="Calibri" w:cs="Calibri"/>
        </w:rPr>
      </w:pPr>
    </w:p>
    <w:p w14:paraId="66E4F24D" w14:textId="35F77DE7" w:rsidR="00971417" w:rsidRPr="00971417" w:rsidRDefault="004613E5" w:rsidP="005113E8">
      <w:pPr>
        <w:pStyle w:val="ListParagraph"/>
        <w:numPr>
          <w:ilvl w:val="0"/>
          <w:numId w:val="32"/>
        </w:numPr>
        <w:ind w:left="1440"/>
        <w:jc w:val="both"/>
        <w:rPr>
          <w:rFonts w:ascii="Calibri" w:hAnsi="Calibri" w:cs="Calibri"/>
        </w:rPr>
      </w:pPr>
      <w:r w:rsidRPr="00AC184A">
        <w:rPr>
          <w:rFonts w:ascii="Calibri" w:hAnsi="Calibri" w:cs="Calibri"/>
          <w:i/>
        </w:rPr>
        <w:lastRenderedPageBreak/>
        <w:t>Parties may slow down the development of a replacement product/technology if they have market power and are the only ones engaged in R&amp;D for the replacement (§82).</w:t>
      </w:r>
      <w:r w:rsidR="005113E8">
        <w:rPr>
          <w:rFonts w:ascii="Calibri" w:hAnsi="Calibri" w:cs="Calibri"/>
        </w:rPr>
        <w:t xml:space="preserve"> </w:t>
      </w:r>
      <w:r w:rsidRPr="00971417">
        <w:rPr>
          <w:rFonts w:ascii="Calibri" w:hAnsi="Calibri" w:cs="Calibri"/>
        </w:rPr>
        <w:t xml:space="preserve">This theoretical concern ignores the market forces that will ordinarily encourage new market entry if there is profit to be gained from introducing a new product to </w:t>
      </w:r>
      <w:r w:rsidR="005D0DEA">
        <w:rPr>
          <w:rFonts w:ascii="Calibri" w:hAnsi="Calibri" w:cs="Calibri"/>
        </w:rPr>
        <w:t xml:space="preserve">replace or </w:t>
      </w:r>
      <w:r w:rsidRPr="00971417">
        <w:rPr>
          <w:rFonts w:ascii="Calibri" w:hAnsi="Calibri" w:cs="Calibri"/>
        </w:rPr>
        <w:t>compete with an existing one.</w:t>
      </w:r>
    </w:p>
    <w:p w14:paraId="78305FA4" w14:textId="77777777" w:rsidR="00971417" w:rsidRDefault="00971417" w:rsidP="005113E8">
      <w:pPr>
        <w:ind w:left="720"/>
        <w:jc w:val="both"/>
        <w:rPr>
          <w:rFonts w:ascii="Calibri" w:hAnsi="Calibri" w:cs="Calibri"/>
        </w:rPr>
      </w:pPr>
    </w:p>
    <w:p w14:paraId="72D21774" w14:textId="521573FF" w:rsidR="004C4854" w:rsidRPr="00A32C19" w:rsidRDefault="004613E5" w:rsidP="005113E8">
      <w:pPr>
        <w:pStyle w:val="ListParagraph"/>
        <w:numPr>
          <w:ilvl w:val="0"/>
          <w:numId w:val="32"/>
        </w:numPr>
        <w:ind w:left="1440"/>
        <w:jc w:val="both"/>
        <w:rPr>
          <w:rFonts w:ascii="Calibri" w:hAnsi="Calibri" w:cs="Calibri"/>
        </w:rPr>
      </w:pPr>
      <w:r w:rsidRPr="00A32C19">
        <w:rPr>
          <w:rFonts w:ascii="Calibri" w:hAnsi="Calibri" w:cs="Calibri"/>
          <w:i/>
        </w:rPr>
        <w:t>Two or more companies engaged in R&amp;D for a new product could restrict competition by cooperating instead of developing their new products separately (§87).</w:t>
      </w:r>
      <w:r w:rsidR="005113E8">
        <w:rPr>
          <w:rFonts w:ascii="Calibri" w:hAnsi="Calibri" w:cs="Calibri"/>
        </w:rPr>
        <w:t xml:space="preserve"> </w:t>
      </w:r>
      <w:r w:rsidRPr="00A32C19">
        <w:rPr>
          <w:rFonts w:ascii="Calibri" w:hAnsi="Calibri" w:cs="Calibri"/>
        </w:rPr>
        <w:t>Th</w:t>
      </w:r>
      <w:r w:rsidR="00971417" w:rsidRPr="00A32C19">
        <w:rPr>
          <w:rFonts w:ascii="Calibri" w:hAnsi="Calibri" w:cs="Calibri"/>
        </w:rPr>
        <w:t xml:space="preserve">is potential problem is not resolved by the 3+1 rule: either there are objective reasons why </w:t>
      </w:r>
      <w:r w:rsidR="00A32C19" w:rsidRPr="00A32C19">
        <w:rPr>
          <w:rFonts w:ascii="Calibri" w:hAnsi="Calibri" w:cs="Calibri"/>
        </w:rPr>
        <w:t xml:space="preserve">it is efficient for </w:t>
      </w:r>
      <w:r w:rsidR="00971417" w:rsidRPr="00A32C19">
        <w:rPr>
          <w:rFonts w:ascii="Calibri" w:hAnsi="Calibri" w:cs="Calibri"/>
        </w:rPr>
        <w:t xml:space="preserve">the parties </w:t>
      </w:r>
      <w:r w:rsidR="00A32C19" w:rsidRPr="00A32C19">
        <w:rPr>
          <w:rFonts w:ascii="Calibri" w:hAnsi="Calibri" w:cs="Calibri"/>
        </w:rPr>
        <w:t>to</w:t>
      </w:r>
      <w:r w:rsidR="00A32C19">
        <w:rPr>
          <w:rFonts w:ascii="Calibri" w:hAnsi="Calibri" w:cs="Calibri"/>
        </w:rPr>
        <w:t xml:space="preserve"> </w:t>
      </w:r>
      <w:r w:rsidR="00971417" w:rsidRPr="00A32C19">
        <w:rPr>
          <w:rFonts w:ascii="Calibri" w:hAnsi="Calibri" w:cs="Calibri"/>
        </w:rPr>
        <w:t xml:space="preserve">combine their </w:t>
      </w:r>
      <w:r w:rsidR="0093273B">
        <w:rPr>
          <w:rFonts w:ascii="Calibri" w:hAnsi="Calibri" w:cs="Calibri"/>
        </w:rPr>
        <w:t xml:space="preserve">R&amp;D </w:t>
      </w:r>
      <w:r w:rsidR="00971417" w:rsidRPr="00A32C19">
        <w:rPr>
          <w:rFonts w:ascii="Calibri" w:hAnsi="Calibri" w:cs="Calibri"/>
        </w:rPr>
        <w:t>efforts</w:t>
      </w:r>
      <w:r w:rsidR="0093273B">
        <w:rPr>
          <w:rFonts w:ascii="Calibri" w:hAnsi="Calibri" w:cs="Calibri"/>
        </w:rPr>
        <w:t>,</w:t>
      </w:r>
      <w:r w:rsidR="00971417" w:rsidRPr="00A32C19">
        <w:rPr>
          <w:rFonts w:ascii="Calibri" w:hAnsi="Calibri" w:cs="Calibri"/>
        </w:rPr>
        <w:t xml:space="preserve"> or they are engaging in cartel-type behaviour that </w:t>
      </w:r>
      <w:r w:rsidR="00A32C19">
        <w:rPr>
          <w:rFonts w:ascii="Calibri" w:hAnsi="Calibri" w:cs="Calibri"/>
        </w:rPr>
        <w:t>merit</w:t>
      </w:r>
      <w:r w:rsidR="00971417" w:rsidRPr="00A32C19">
        <w:rPr>
          <w:rFonts w:ascii="Calibri" w:hAnsi="Calibri" w:cs="Calibri"/>
        </w:rPr>
        <w:t>s enforcement action.</w:t>
      </w:r>
      <w:r w:rsidR="005113E8">
        <w:rPr>
          <w:rFonts w:ascii="Calibri" w:hAnsi="Calibri" w:cs="Calibri"/>
        </w:rPr>
        <w:t xml:space="preserve"> </w:t>
      </w:r>
    </w:p>
    <w:p w14:paraId="00DAA72B" w14:textId="77777777" w:rsidR="00F03924" w:rsidRPr="00C5758B" w:rsidRDefault="00F03924">
      <w:pPr>
        <w:rPr>
          <w:rFonts w:ascii="Calibri" w:hAnsi="Calibri" w:cs="Calibri"/>
        </w:rPr>
      </w:pPr>
    </w:p>
    <w:p w14:paraId="5F4BD0FF" w14:textId="280666C5" w:rsidR="00826C5E" w:rsidRPr="008C618A" w:rsidRDefault="00E337E8" w:rsidP="005113E8">
      <w:pPr>
        <w:pStyle w:val="ListParagraph"/>
        <w:numPr>
          <w:ilvl w:val="0"/>
          <w:numId w:val="36"/>
        </w:numPr>
        <w:jc w:val="both"/>
        <w:rPr>
          <w:rFonts w:ascii="Calibri" w:hAnsi="Calibri" w:cs="Calibri"/>
        </w:rPr>
      </w:pPr>
      <w:r w:rsidRPr="008C618A">
        <w:rPr>
          <w:rFonts w:ascii="Calibri" w:hAnsi="Calibri" w:cs="Calibri"/>
        </w:rPr>
        <w:t>T</w:t>
      </w:r>
      <w:r w:rsidR="00826C5E" w:rsidRPr="008C618A">
        <w:rPr>
          <w:rFonts w:ascii="Calibri" w:hAnsi="Calibri" w:cs="Calibri"/>
        </w:rPr>
        <w:t xml:space="preserve">he </w:t>
      </w:r>
      <w:r w:rsidRPr="008C618A">
        <w:rPr>
          <w:rFonts w:ascii="Calibri" w:hAnsi="Calibri" w:cs="Calibri"/>
        </w:rPr>
        <w:t>3+1 rule</w:t>
      </w:r>
      <w:r w:rsidR="00826C5E" w:rsidRPr="008C618A">
        <w:rPr>
          <w:rFonts w:ascii="Calibri" w:hAnsi="Calibri" w:cs="Calibri"/>
        </w:rPr>
        <w:t xml:space="preserve"> has three prongs (§147): (</w:t>
      </w:r>
      <w:r w:rsidR="004D12E0" w:rsidRPr="008C618A">
        <w:rPr>
          <w:rFonts w:ascii="Calibri" w:hAnsi="Calibri" w:cs="Calibri"/>
        </w:rPr>
        <w:t>a</w:t>
      </w:r>
      <w:r w:rsidR="00826C5E" w:rsidRPr="008C618A">
        <w:rPr>
          <w:rFonts w:ascii="Calibri" w:hAnsi="Calibri" w:cs="Calibri"/>
        </w:rPr>
        <w:t>) the R&amp;D efforts should pursue substantially the same aim or objective</w:t>
      </w:r>
      <w:r w:rsidR="0093273B">
        <w:rPr>
          <w:rFonts w:ascii="Calibri" w:hAnsi="Calibri" w:cs="Calibri"/>
        </w:rPr>
        <w:t>;</w:t>
      </w:r>
      <w:r w:rsidR="004D12E0" w:rsidRPr="008C618A">
        <w:rPr>
          <w:rFonts w:ascii="Calibri" w:hAnsi="Calibri" w:cs="Calibri"/>
        </w:rPr>
        <w:t xml:space="preserve"> (b) the third parties should be "already engaged in the R&amp;D efforts or able and likely to independently engage in such efforts"</w:t>
      </w:r>
      <w:r w:rsidR="0093273B">
        <w:rPr>
          <w:rFonts w:ascii="Calibri" w:hAnsi="Calibri" w:cs="Calibri"/>
        </w:rPr>
        <w:t>;</w:t>
      </w:r>
      <w:r w:rsidR="004D12E0" w:rsidRPr="008C618A">
        <w:rPr>
          <w:rFonts w:ascii="Calibri" w:hAnsi="Calibri" w:cs="Calibri"/>
        </w:rPr>
        <w:t xml:space="preserve"> and (c) the third parties should be independent from the parties to the R&amp;D agreement.</w:t>
      </w:r>
      <w:r w:rsidR="005113E8">
        <w:rPr>
          <w:rFonts w:ascii="Calibri" w:hAnsi="Calibri" w:cs="Calibri"/>
        </w:rPr>
        <w:t xml:space="preserve"> </w:t>
      </w:r>
    </w:p>
    <w:p w14:paraId="7A9D9F33" w14:textId="77777777" w:rsidR="004D12E0" w:rsidRDefault="004D12E0" w:rsidP="005113E8">
      <w:pPr>
        <w:jc w:val="both"/>
        <w:rPr>
          <w:rFonts w:ascii="Calibri" w:hAnsi="Calibri" w:cs="Calibri"/>
        </w:rPr>
      </w:pPr>
    </w:p>
    <w:p w14:paraId="0BF167A9" w14:textId="41EAF4D6" w:rsidR="00E337E8" w:rsidRPr="008C618A" w:rsidRDefault="004D12E0" w:rsidP="005113E8">
      <w:pPr>
        <w:pStyle w:val="ListParagraph"/>
        <w:numPr>
          <w:ilvl w:val="0"/>
          <w:numId w:val="36"/>
        </w:numPr>
        <w:jc w:val="both"/>
        <w:rPr>
          <w:rFonts w:ascii="Calibri" w:hAnsi="Calibri" w:cs="Calibri"/>
        </w:rPr>
      </w:pPr>
      <w:r w:rsidRPr="008C618A">
        <w:rPr>
          <w:rFonts w:ascii="Calibri" w:hAnsi="Calibri" w:cs="Calibri"/>
        </w:rPr>
        <w:t xml:space="preserve">Relevant to this assessment are factors such as the third parties' access to relevant financial and human resources, </w:t>
      </w:r>
      <w:r w:rsidR="00AC184A" w:rsidRPr="008C618A">
        <w:rPr>
          <w:rFonts w:ascii="Calibri" w:hAnsi="Calibri" w:cs="Calibri"/>
        </w:rPr>
        <w:t xml:space="preserve">their </w:t>
      </w:r>
      <w:r w:rsidRPr="008C618A">
        <w:rPr>
          <w:rFonts w:ascii="Calibri" w:hAnsi="Calibri" w:cs="Calibri"/>
        </w:rPr>
        <w:t>IPRs, know-how, and other specialised assets or previous R&amp;D efforts (§149).</w:t>
      </w:r>
      <w:r w:rsidR="005113E8">
        <w:rPr>
          <w:rFonts w:ascii="Calibri" w:hAnsi="Calibri" w:cs="Calibri"/>
        </w:rPr>
        <w:t xml:space="preserve"> </w:t>
      </w:r>
      <w:r w:rsidRPr="008C618A">
        <w:rPr>
          <w:rFonts w:ascii="Calibri" w:hAnsi="Calibri" w:cs="Calibri"/>
        </w:rPr>
        <w:t>There are additional rules for assessing the comparability of competing R&amp;D efforts (§151)</w:t>
      </w:r>
      <w:r w:rsidR="00E337E8" w:rsidRPr="008C618A">
        <w:rPr>
          <w:rFonts w:ascii="Calibri" w:hAnsi="Calibri" w:cs="Calibri"/>
        </w:rPr>
        <w:t>.</w:t>
      </w:r>
      <w:r w:rsidR="005113E8">
        <w:rPr>
          <w:rFonts w:ascii="Calibri" w:hAnsi="Calibri" w:cs="Calibri"/>
        </w:rPr>
        <w:t xml:space="preserve"> </w:t>
      </w:r>
      <w:r w:rsidR="0093273B">
        <w:rPr>
          <w:rFonts w:ascii="Calibri" w:hAnsi="Calibri" w:cs="Calibri"/>
        </w:rPr>
        <w:t>These complex rules present many practical problems.</w:t>
      </w:r>
      <w:r w:rsidR="005113E8">
        <w:rPr>
          <w:rFonts w:ascii="Calibri" w:hAnsi="Calibri" w:cs="Calibri"/>
        </w:rPr>
        <w:t xml:space="preserve"> </w:t>
      </w:r>
      <w:r w:rsidR="0093273B">
        <w:rPr>
          <w:rFonts w:ascii="Calibri" w:hAnsi="Calibri" w:cs="Calibri"/>
        </w:rPr>
        <w:t xml:space="preserve">The </w:t>
      </w:r>
      <w:r w:rsidR="00E337E8" w:rsidRPr="008C618A">
        <w:rPr>
          <w:rFonts w:ascii="Calibri" w:hAnsi="Calibri" w:cs="Calibri"/>
        </w:rPr>
        <w:t xml:space="preserve">factors at §149 build in a bias against </w:t>
      </w:r>
      <w:r w:rsidR="00A32C19" w:rsidRPr="008C618A">
        <w:rPr>
          <w:rFonts w:ascii="Calibri" w:hAnsi="Calibri" w:cs="Calibri"/>
        </w:rPr>
        <w:t xml:space="preserve">including </w:t>
      </w:r>
      <w:r w:rsidR="00E337E8" w:rsidRPr="008C618A">
        <w:rPr>
          <w:rFonts w:ascii="Calibri" w:hAnsi="Calibri" w:cs="Calibri"/>
        </w:rPr>
        <w:t>competing R&amp;D efforts involving SMEs</w:t>
      </w:r>
      <w:r w:rsidR="00AC184A" w:rsidRPr="008C618A">
        <w:rPr>
          <w:rFonts w:ascii="Calibri" w:hAnsi="Calibri" w:cs="Calibri"/>
        </w:rPr>
        <w:t xml:space="preserve"> (that have fewer resources)</w:t>
      </w:r>
      <w:r w:rsidR="0093273B">
        <w:rPr>
          <w:rFonts w:ascii="Calibri" w:hAnsi="Calibri" w:cs="Calibri"/>
        </w:rPr>
        <w:t>.</w:t>
      </w:r>
      <w:r w:rsidR="005113E8">
        <w:rPr>
          <w:rFonts w:ascii="Calibri" w:hAnsi="Calibri" w:cs="Calibri"/>
        </w:rPr>
        <w:t xml:space="preserve"> </w:t>
      </w:r>
      <w:r w:rsidR="0093273B">
        <w:rPr>
          <w:rFonts w:ascii="Calibri" w:hAnsi="Calibri" w:cs="Calibri"/>
        </w:rPr>
        <w:t xml:space="preserve">It </w:t>
      </w:r>
      <w:r w:rsidR="00E337E8" w:rsidRPr="008C618A">
        <w:rPr>
          <w:rFonts w:ascii="Calibri" w:hAnsi="Calibri" w:cs="Calibri"/>
        </w:rPr>
        <w:t>cannot be assumed that the information on competing R&amp;D efforts will be available with any degree of certainty</w:t>
      </w:r>
      <w:r w:rsidR="0093273B">
        <w:rPr>
          <w:rFonts w:ascii="Calibri" w:hAnsi="Calibri" w:cs="Calibri"/>
        </w:rPr>
        <w:t>.</w:t>
      </w:r>
      <w:r w:rsidR="005113E8">
        <w:rPr>
          <w:rFonts w:ascii="Calibri" w:hAnsi="Calibri" w:cs="Calibri"/>
        </w:rPr>
        <w:t xml:space="preserve"> </w:t>
      </w:r>
      <w:r w:rsidR="0093273B">
        <w:rPr>
          <w:rFonts w:ascii="Calibri" w:hAnsi="Calibri" w:cs="Calibri"/>
        </w:rPr>
        <w:t>H</w:t>
      </w:r>
      <w:r w:rsidR="00E337E8" w:rsidRPr="008C618A">
        <w:rPr>
          <w:rFonts w:ascii="Calibri" w:hAnsi="Calibri" w:cs="Calibri"/>
        </w:rPr>
        <w:t xml:space="preserve">ow is one to </w:t>
      </w:r>
      <w:r w:rsidR="00AC184A" w:rsidRPr="008C618A">
        <w:rPr>
          <w:rFonts w:ascii="Calibri" w:hAnsi="Calibri" w:cs="Calibri"/>
        </w:rPr>
        <w:t>divine</w:t>
      </w:r>
      <w:r w:rsidR="00E16BE0" w:rsidRPr="008C618A">
        <w:rPr>
          <w:rFonts w:ascii="Calibri" w:hAnsi="Calibri" w:cs="Calibri"/>
        </w:rPr>
        <w:t xml:space="preserve"> the intentions of a</w:t>
      </w:r>
      <w:r w:rsidR="0093273B">
        <w:rPr>
          <w:rFonts w:ascii="Calibri" w:hAnsi="Calibri" w:cs="Calibri"/>
        </w:rPr>
        <w:t>n independent</w:t>
      </w:r>
      <w:r w:rsidR="00E16BE0" w:rsidRPr="008C618A">
        <w:rPr>
          <w:rFonts w:ascii="Calibri" w:hAnsi="Calibri" w:cs="Calibri"/>
        </w:rPr>
        <w:t xml:space="preserve"> third party that is not engaged in competing R&amp;D but that is "able and likely" to do so?</w:t>
      </w:r>
      <w:r w:rsidR="005113E8">
        <w:rPr>
          <w:rFonts w:ascii="Calibri" w:hAnsi="Calibri" w:cs="Calibri"/>
        </w:rPr>
        <w:t xml:space="preserve"> </w:t>
      </w:r>
    </w:p>
    <w:p w14:paraId="472262E2" w14:textId="77777777" w:rsidR="00E16BE0" w:rsidRDefault="00E16BE0" w:rsidP="005113E8">
      <w:pPr>
        <w:jc w:val="both"/>
        <w:rPr>
          <w:rFonts w:ascii="Calibri" w:hAnsi="Calibri" w:cs="Calibri"/>
        </w:rPr>
      </w:pPr>
    </w:p>
    <w:p w14:paraId="0D38638D" w14:textId="6AEE020A" w:rsidR="00F03924" w:rsidRDefault="002815E4" w:rsidP="005113E8">
      <w:pPr>
        <w:pStyle w:val="ListParagraph"/>
        <w:numPr>
          <w:ilvl w:val="0"/>
          <w:numId w:val="36"/>
        </w:numPr>
        <w:jc w:val="both"/>
        <w:rPr>
          <w:rFonts w:ascii="Calibri" w:hAnsi="Calibri" w:cs="Calibri"/>
        </w:rPr>
      </w:pPr>
      <w:r w:rsidRPr="008C618A">
        <w:rPr>
          <w:rFonts w:ascii="Calibri" w:hAnsi="Calibri" w:cs="Calibri"/>
        </w:rPr>
        <w:t>The problem</w:t>
      </w:r>
      <w:r w:rsidR="00C6160C" w:rsidRPr="008C618A">
        <w:rPr>
          <w:rFonts w:ascii="Calibri" w:hAnsi="Calibri" w:cs="Calibri"/>
        </w:rPr>
        <w:t>s are</w:t>
      </w:r>
      <w:r w:rsidRPr="008C618A">
        <w:rPr>
          <w:rFonts w:ascii="Calibri" w:hAnsi="Calibri" w:cs="Calibri"/>
        </w:rPr>
        <w:t xml:space="preserve"> </w:t>
      </w:r>
      <w:r w:rsidR="0093273B">
        <w:rPr>
          <w:rFonts w:ascii="Calibri" w:hAnsi="Calibri" w:cs="Calibri"/>
        </w:rPr>
        <w:t xml:space="preserve">further </w:t>
      </w:r>
      <w:r w:rsidRPr="008C618A">
        <w:rPr>
          <w:rFonts w:ascii="Calibri" w:hAnsi="Calibri" w:cs="Calibri"/>
        </w:rPr>
        <w:t>compounded by the definition of "competitor</w:t>
      </w:r>
      <w:r w:rsidR="00C6160C" w:rsidRPr="008C618A">
        <w:rPr>
          <w:rFonts w:ascii="Calibri" w:hAnsi="Calibri" w:cs="Calibri"/>
        </w:rPr>
        <w:t>s</w:t>
      </w:r>
      <w:r w:rsidRPr="008C618A">
        <w:rPr>
          <w:rFonts w:ascii="Calibri" w:hAnsi="Calibri" w:cs="Calibri"/>
        </w:rPr>
        <w:t xml:space="preserve"> in innovation" to include, inter alia, "an undertaking engaged in an R&amp;D pole and an undertaking able and likely to independently engage (but not yet engaged) in an R&amp;D pole pursuing substantially the same object" (§130(d)).</w:t>
      </w:r>
      <w:r>
        <w:rPr>
          <w:rStyle w:val="FootnoteReference"/>
          <w:rFonts w:ascii="Calibri" w:hAnsi="Calibri" w:cs="Calibri"/>
        </w:rPr>
        <w:footnoteReference w:id="1"/>
      </w:r>
      <w:r w:rsidR="005113E8">
        <w:rPr>
          <w:rFonts w:ascii="Calibri" w:hAnsi="Calibri" w:cs="Calibri"/>
        </w:rPr>
        <w:t xml:space="preserve"> </w:t>
      </w:r>
    </w:p>
    <w:p w14:paraId="474FDDD5" w14:textId="77777777" w:rsidR="00395EC3" w:rsidRPr="00395EC3" w:rsidRDefault="00395EC3" w:rsidP="005113E8">
      <w:pPr>
        <w:ind w:left="360"/>
        <w:jc w:val="both"/>
        <w:rPr>
          <w:rFonts w:ascii="Calibri" w:hAnsi="Calibri" w:cs="Calibri"/>
        </w:rPr>
      </w:pPr>
    </w:p>
    <w:p w14:paraId="5DFE0467" w14:textId="3B635504" w:rsidR="002815E4" w:rsidRPr="008C618A" w:rsidRDefault="002815E4" w:rsidP="005113E8">
      <w:pPr>
        <w:pStyle w:val="ListParagraph"/>
        <w:numPr>
          <w:ilvl w:val="0"/>
          <w:numId w:val="36"/>
        </w:numPr>
        <w:jc w:val="both"/>
        <w:rPr>
          <w:rFonts w:ascii="Calibri" w:hAnsi="Calibri" w:cs="Calibri"/>
        </w:rPr>
      </w:pPr>
      <w:r w:rsidRPr="008C618A">
        <w:rPr>
          <w:rFonts w:ascii="Calibri" w:hAnsi="Calibri" w:cs="Calibri"/>
        </w:rPr>
        <w:t xml:space="preserve">Why are we </w:t>
      </w:r>
      <w:r w:rsidR="0093273B">
        <w:rPr>
          <w:rFonts w:ascii="Calibri" w:hAnsi="Calibri" w:cs="Calibri"/>
        </w:rPr>
        <w:t>so concerned to ensure</w:t>
      </w:r>
      <w:r w:rsidRPr="008C618A">
        <w:rPr>
          <w:rFonts w:ascii="Calibri" w:hAnsi="Calibri" w:cs="Calibri"/>
        </w:rPr>
        <w:t xml:space="preserve"> that competing R&amp;D efforts impose a competitive constraint on the parties to </w:t>
      </w:r>
      <w:r w:rsidR="0093273B">
        <w:rPr>
          <w:rFonts w:ascii="Calibri" w:hAnsi="Calibri" w:cs="Calibri"/>
        </w:rPr>
        <w:t>any joint</w:t>
      </w:r>
      <w:r w:rsidRPr="008C618A">
        <w:rPr>
          <w:rFonts w:ascii="Calibri" w:hAnsi="Calibri" w:cs="Calibri"/>
        </w:rPr>
        <w:t xml:space="preserve"> R&amp;D agreement (§152)?</w:t>
      </w:r>
      <w:r w:rsidR="005113E8">
        <w:rPr>
          <w:rFonts w:ascii="Calibri" w:hAnsi="Calibri" w:cs="Calibri"/>
        </w:rPr>
        <w:t xml:space="preserve"> </w:t>
      </w:r>
    </w:p>
    <w:p w14:paraId="74FBBCF4" w14:textId="77777777" w:rsidR="002815E4" w:rsidRDefault="002815E4" w:rsidP="005113E8">
      <w:pPr>
        <w:jc w:val="both"/>
        <w:rPr>
          <w:rFonts w:ascii="Calibri" w:hAnsi="Calibri" w:cs="Calibri"/>
        </w:rPr>
      </w:pPr>
    </w:p>
    <w:p w14:paraId="788CDF2A" w14:textId="45ABE64E" w:rsidR="005876D8" w:rsidRPr="008C618A" w:rsidRDefault="00AC184A" w:rsidP="005113E8">
      <w:pPr>
        <w:pStyle w:val="ListParagraph"/>
        <w:numPr>
          <w:ilvl w:val="0"/>
          <w:numId w:val="36"/>
        </w:numPr>
        <w:jc w:val="both"/>
        <w:rPr>
          <w:rFonts w:ascii="Calibri" w:hAnsi="Calibri" w:cs="Calibri"/>
        </w:rPr>
      </w:pPr>
      <w:r w:rsidRPr="008C618A">
        <w:rPr>
          <w:rFonts w:ascii="Calibri" w:hAnsi="Calibri" w:cs="Calibri"/>
        </w:rPr>
        <w:t>Hypothetically, i</w:t>
      </w:r>
      <w:r w:rsidR="00C6160C" w:rsidRPr="008C618A">
        <w:rPr>
          <w:rFonts w:ascii="Calibri" w:hAnsi="Calibri" w:cs="Calibri"/>
        </w:rPr>
        <w:t>f two competitors in innovation come together and make significant</w:t>
      </w:r>
      <w:r w:rsidR="005876D8" w:rsidRPr="008C618A">
        <w:rPr>
          <w:rFonts w:ascii="Calibri" w:hAnsi="Calibri" w:cs="Calibri"/>
        </w:rPr>
        <w:t xml:space="preserve"> </w:t>
      </w:r>
      <w:proofErr w:type="gramStart"/>
      <w:r w:rsidR="005876D8" w:rsidRPr="008C618A">
        <w:rPr>
          <w:rFonts w:ascii="Calibri" w:hAnsi="Calibri" w:cs="Calibri"/>
        </w:rPr>
        <w:t>high risk</w:t>
      </w:r>
      <w:proofErr w:type="gramEnd"/>
      <w:r w:rsidR="00C6160C" w:rsidRPr="008C618A">
        <w:rPr>
          <w:rFonts w:ascii="Calibri" w:hAnsi="Calibri" w:cs="Calibri"/>
        </w:rPr>
        <w:t xml:space="preserve"> investments </w:t>
      </w:r>
      <w:r w:rsidRPr="008C618A">
        <w:rPr>
          <w:rFonts w:ascii="Calibri" w:hAnsi="Calibri" w:cs="Calibri"/>
        </w:rPr>
        <w:t>that</w:t>
      </w:r>
      <w:r w:rsidR="005876D8" w:rsidRPr="008C618A">
        <w:rPr>
          <w:rFonts w:ascii="Calibri" w:hAnsi="Calibri" w:cs="Calibri"/>
        </w:rPr>
        <w:t xml:space="preserve"> are ultimately successful in </w:t>
      </w:r>
      <w:r w:rsidRPr="008C618A">
        <w:rPr>
          <w:rFonts w:ascii="Calibri" w:hAnsi="Calibri" w:cs="Calibri"/>
        </w:rPr>
        <w:t>develop</w:t>
      </w:r>
      <w:r w:rsidR="00C6160C" w:rsidRPr="008C618A">
        <w:rPr>
          <w:rFonts w:ascii="Calibri" w:hAnsi="Calibri" w:cs="Calibri"/>
        </w:rPr>
        <w:t xml:space="preserve">ing a miracle cure for </w:t>
      </w:r>
      <w:proofErr w:type="spellStart"/>
      <w:r w:rsidR="00C6160C" w:rsidRPr="008C618A">
        <w:rPr>
          <w:rFonts w:ascii="Calibri" w:hAnsi="Calibri" w:cs="Calibri"/>
        </w:rPr>
        <w:t>Alzheimers</w:t>
      </w:r>
      <w:proofErr w:type="spellEnd"/>
      <w:r w:rsidR="0093273B">
        <w:rPr>
          <w:rFonts w:ascii="Calibri" w:hAnsi="Calibri" w:cs="Calibri"/>
        </w:rPr>
        <w:t xml:space="preserve"> faster than would otherwise have been the case</w:t>
      </w:r>
      <w:r w:rsidR="00C6160C" w:rsidRPr="008C618A">
        <w:rPr>
          <w:rFonts w:ascii="Calibri" w:hAnsi="Calibri" w:cs="Calibri"/>
        </w:rPr>
        <w:t xml:space="preserve">, why should </w:t>
      </w:r>
      <w:r w:rsidR="0093273B">
        <w:rPr>
          <w:rFonts w:ascii="Calibri" w:hAnsi="Calibri" w:cs="Calibri"/>
        </w:rPr>
        <w:t>w</w:t>
      </w:r>
      <w:r w:rsidR="00C6160C" w:rsidRPr="008C618A">
        <w:rPr>
          <w:rFonts w:ascii="Calibri" w:hAnsi="Calibri" w:cs="Calibri"/>
        </w:rPr>
        <w:t>e be exercised about whether or not the block exemption applies?</w:t>
      </w:r>
      <w:r w:rsidR="005113E8">
        <w:rPr>
          <w:rFonts w:ascii="Calibri" w:hAnsi="Calibri" w:cs="Calibri"/>
        </w:rPr>
        <w:t xml:space="preserve"> </w:t>
      </w:r>
      <w:r w:rsidR="00C6160C" w:rsidRPr="008C618A">
        <w:rPr>
          <w:rFonts w:ascii="Calibri" w:hAnsi="Calibri" w:cs="Calibri"/>
        </w:rPr>
        <w:t>Even if there are no competing R&amp;D efforts at a comparable stage</w:t>
      </w:r>
      <w:r w:rsidR="00A32C19" w:rsidRPr="008C618A">
        <w:rPr>
          <w:rFonts w:ascii="Calibri" w:hAnsi="Calibri" w:cs="Calibri"/>
        </w:rPr>
        <w:t xml:space="preserve"> when the collaboration begins</w:t>
      </w:r>
      <w:r w:rsidR="00C6160C" w:rsidRPr="008C618A">
        <w:rPr>
          <w:rFonts w:ascii="Calibri" w:hAnsi="Calibri" w:cs="Calibri"/>
        </w:rPr>
        <w:t xml:space="preserve">, the result is to be celebrated </w:t>
      </w:r>
      <w:r w:rsidRPr="008C618A">
        <w:rPr>
          <w:rFonts w:ascii="Calibri" w:hAnsi="Calibri" w:cs="Calibri"/>
        </w:rPr>
        <w:t xml:space="preserve">- </w:t>
      </w:r>
      <w:r w:rsidR="00C6160C" w:rsidRPr="008C618A">
        <w:rPr>
          <w:rFonts w:ascii="Calibri" w:hAnsi="Calibri" w:cs="Calibri"/>
        </w:rPr>
        <w:t xml:space="preserve">even if it </w:t>
      </w:r>
      <w:r w:rsidR="005876D8" w:rsidRPr="008C618A">
        <w:rPr>
          <w:rFonts w:ascii="Calibri" w:hAnsi="Calibri" w:cs="Calibri"/>
        </w:rPr>
        <w:t>confers</w:t>
      </w:r>
      <w:r w:rsidR="00C6160C" w:rsidRPr="008C618A">
        <w:rPr>
          <w:rFonts w:ascii="Calibri" w:hAnsi="Calibri" w:cs="Calibri"/>
        </w:rPr>
        <w:t xml:space="preserve"> monopoly pricing power </w:t>
      </w:r>
      <w:r w:rsidRPr="008C618A">
        <w:rPr>
          <w:rFonts w:ascii="Calibri" w:hAnsi="Calibri" w:cs="Calibri"/>
        </w:rPr>
        <w:t xml:space="preserve">on the parties </w:t>
      </w:r>
      <w:r w:rsidR="00C6160C" w:rsidRPr="008C618A">
        <w:rPr>
          <w:rFonts w:ascii="Calibri" w:hAnsi="Calibri" w:cs="Calibri"/>
        </w:rPr>
        <w:t>for a period.</w:t>
      </w:r>
      <w:r w:rsidR="005113E8">
        <w:rPr>
          <w:rFonts w:ascii="Calibri" w:hAnsi="Calibri" w:cs="Calibri"/>
        </w:rPr>
        <w:t xml:space="preserve"> </w:t>
      </w:r>
      <w:r w:rsidR="00C6160C" w:rsidRPr="008C618A">
        <w:rPr>
          <w:rFonts w:ascii="Calibri" w:hAnsi="Calibri" w:cs="Calibri"/>
        </w:rPr>
        <w:t>The size of the prize will incentivise others to quickly catch up</w:t>
      </w:r>
      <w:r w:rsidR="005876D8" w:rsidRPr="008C618A">
        <w:rPr>
          <w:rFonts w:ascii="Calibri" w:hAnsi="Calibri" w:cs="Calibri"/>
        </w:rPr>
        <w:t xml:space="preserve"> as </w:t>
      </w:r>
      <w:r w:rsidR="00F74A4F" w:rsidRPr="008C618A">
        <w:rPr>
          <w:rFonts w:ascii="Calibri" w:hAnsi="Calibri" w:cs="Calibri"/>
        </w:rPr>
        <w:t xml:space="preserve">was </w:t>
      </w:r>
      <w:r w:rsidR="0093273B">
        <w:rPr>
          <w:rFonts w:ascii="Calibri" w:hAnsi="Calibri" w:cs="Calibri"/>
        </w:rPr>
        <w:t xml:space="preserve">amply </w:t>
      </w:r>
      <w:r w:rsidR="005876D8" w:rsidRPr="008C618A">
        <w:rPr>
          <w:rFonts w:ascii="Calibri" w:hAnsi="Calibri" w:cs="Calibri"/>
        </w:rPr>
        <w:t xml:space="preserve">demonstrated by the </w:t>
      </w:r>
      <w:r w:rsidR="00A32C19" w:rsidRPr="008C618A">
        <w:rPr>
          <w:rFonts w:ascii="Calibri" w:hAnsi="Calibri" w:cs="Calibri"/>
        </w:rPr>
        <w:t xml:space="preserve">recent </w:t>
      </w:r>
      <w:r w:rsidR="005876D8" w:rsidRPr="008C618A">
        <w:rPr>
          <w:rFonts w:ascii="Calibri" w:hAnsi="Calibri" w:cs="Calibri"/>
        </w:rPr>
        <w:t>covid vaccine race</w:t>
      </w:r>
      <w:r w:rsidR="00C6160C" w:rsidRPr="008C618A">
        <w:rPr>
          <w:rFonts w:ascii="Calibri" w:hAnsi="Calibri" w:cs="Calibri"/>
        </w:rPr>
        <w:t>.</w:t>
      </w:r>
      <w:r w:rsidR="005113E8">
        <w:rPr>
          <w:rFonts w:ascii="Calibri" w:hAnsi="Calibri" w:cs="Calibri"/>
        </w:rPr>
        <w:t xml:space="preserve"> </w:t>
      </w:r>
    </w:p>
    <w:p w14:paraId="4F5A3848" w14:textId="77777777" w:rsidR="00C6160C" w:rsidRDefault="00C6160C">
      <w:pPr>
        <w:rPr>
          <w:rFonts w:ascii="Calibri" w:hAnsi="Calibri" w:cs="Calibri"/>
        </w:rPr>
      </w:pPr>
    </w:p>
    <w:p w14:paraId="532DFCE5" w14:textId="52250E77" w:rsidR="004C4854" w:rsidRPr="008C618A" w:rsidRDefault="004C4854" w:rsidP="005113E8">
      <w:pPr>
        <w:pStyle w:val="ListParagraph"/>
        <w:numPr>
          <w:ilvl w:val="0"/>
          <w:numId w:val="36"/>
        </w:numPr>
        <w:jc w:val="both"/>
        <w:rPr>
          <w:rFonts w:ascii="Calibri" w:hAnsi="Calibri" w:cs="Calibri"/>
        </w:rPr>
      </w:pPr>
      <w:r w:rsidRPr="008C618A">
        <w:rPr>
          <w:rFonts w:ascii="Calibri" w:hAnsi="Calibri" w:cs="Calibri"/>
        </w:rPr>
        <w:t xml:space="preserve">EFPIA calls on the Commission to radically rethink </w:t>
      </w:r>
      <w:r w:rsidR="004B6AA0" w:rsidRPr="008C618A">
        <w:rPr>
          <w:rFonts w:ascii="Calibri" w:hAnsi="Calibri" w:cs="Calibri"/>
        </w:rPr>
        <w:t>its</w:t>
      </w:r>
      <w:r w:rsidRPr="008C618A">
        <w:rPr>
          <w:rFonts w:ascii="Calibri" w:hAnsi="Calibri" w:cs="Calibri"/>
        </w:rPr>
        <w:t xml:space="preserve"> proposed approach in the interests of encouraging, not killing, innovation incentives in Europe.</w:t>
      </w:r>
      <w:r w:rsidR="005113E8">
        <w:rPr>
          <w:rFonts w:ascii="Calibri" w:hAnsi="Calibri" w:cs="Calibri"/>
        </w:rPr>
        <w:t xml:space="preserve"> </w:t>
      </w:r>
      <w:r w:rsidRPr="008C618A">
        <w:rPr>
          <w:rFonts w:ascii="Calibri" w:hAnsi="Calibri" w:cs="Calibri"/>
        </w:rPr>
        <w:t xml:space="preserve">Most companies attest to the unhelpfulness of the current </w:t>
      </w:r>
      <w:r w:rsidR="005876D8" w:rsidRPr="008C618A">
        <w:rPr>
          <w:rFonts w:ascii="Calibri" w:hAnsi="Calibri" w:cs="Calibri"/>
        </w:rPr>
        <w:t>regime</w:t>
      </w:r>
      <w:r w:rsidRPr="008C618A">
        <w:rPr>
          <w:rFonts w:ascii="Calibri" w:hAnsi="Calibri" w:cs="Calibri"/>
        </w:rPr>
        <w:t>.</w:t>
      </w:r>
      <w:r w:rsidR="005113E8">
        <w:rPr>
          <w:rFonts w:ascii="Calibri" w:hAnsi="Calibri" w:cs="Calibri"/>
        </w:rPr>
        <w:t xml:space="preserve"> </w:t>
      </w:r>
      <w:r w:rsidR="005876D8" w:rsidRPr="008C618A">
        <w:rPr>
          <w:rFonts w:ascii="Calibri" w:hAnsi="Calibri" w:cs="Calibri"/>
        </w:rPr>
        <w:t xml:space="preserve">The proposed 3+1 rule </w:t>
      </w:r>
      <w:r w:rsidRPr="008C618A">
        <w:rPr>
          <w:rFonts w:ascii="Calibri" w:hAnsi="Calibri" w:cs="Calibri"/>
        </w:rPr>
        <w:t xml:space="preserve">will render the </w:t>
      </w:r>
      <w:r w:rsidR="0093273B">
        <w:rPr>
          <w:rFonts w:ascii="Calibri" w:hAnsi="Calibri" w:cs="Calibri"/>
        </w:rPr>
        <w:t xml:space="preserve">R&amp;D </w:t>
      </w:r>
      <w:r w:rsidRPr="008C618A">
        <w:rPr>
          <w:rFonts w:ascii="Calibri" w:hAnsi="Calibri" w:cs="Calibri"/>
        </w:rPr>
        <w:t xml:space="preserve">block exemption even more </w:t>
      </w:r>
      <w:r w:rsidR="005876D8" w:rsidRPr="008C618A">
        <w:rPr>
          <w:rFonts w:ascii="Calibri" w:hAnsi="Calibri" w:cs="Calibri"/>
        </w:rPr>
        <w:t>redundant</w:t>
      </w:r>
      <w:r w:rsidRPr="008C618A">
        <w:rPr>
          <w:rFonts w:ascii="Calibri" w:hAnsi="Calibri" w:cs="Calibri"/>
        </w:rPr>
        <w:t>.</w:t>
      </w:r>
      <w:r w:rsidR="005113E8">
        <w:rPr>
          <w:rFonts w:ascii="Calibri" w:hAnsi="Calibri" w:cs="Calibri"/>
        </w:rPr>
        <w:t xml:space="preserve"> </w:t>
      </w:r>
    </w:p>
    <w:p w14:paraId="264BB5C2" w14:textId="77777777" w:rsidR="00BF1EE5" w:rsidRDefault="00BF1EE5" w:rsidP="005113E8">
      <w:pPr>
        <w:jc w:val="both"/>
        <w:rPr>
          <w:rFonts w:ascii="Calibri" w:hAnsi="Calibri" w:cs="Calibri"/>
        </w:rPr>
      </w:pPr>
    </w:p>
    <w:p w14:paraId="4188A1C7" w14:textId="77777777" w:rsidR="00F74A4F" w:rsidRPr="00C5758B" w:rsidRDefault="00F74A4F" w:rsidP="005113E8">
      <w:pPr>
        <w:jc w:val="both"/>
        <w:rPr>
          <w:rFonts w:ascii="Calibri" w:hAnsi="Calibri" w:cs="Calibri"/>
        </w:rPr>
      </w:pPr>
    </w:p>
    <w:p w14:paraId="31B32204" w14:textId="77777777" w:rsidR="00BF1EE5" w:rsidRPr="00C5758B" w:rsidRDefault="0093273B" w:rsidP="005113E8">
      <w:pPr>
        <w:pStyle w:val="Heading1"/>
        <w:ind w:left="720" w:hanging="720"/>
        <w:jc w:val="both"/>
      </w:pPr>
      <w:r>
        <w:t>3.</w:t>
      </w:r>
      <w:r>
        <w:tab/>
      </w:r>
      <w:r w:rsidR="00BF1EE5" w:rsidRPr="00C5758B">
        <w:t xml:space="preserve">The Existing Rules Are Already Too Rigid and Should Be Loosened to </w:t>
      </w:r>
      <w:r w:rsidR="00F74A4F">
        <w:t>Support</w:t>
      </w:r>
      <w:r w:rsidR="00BF1EE5" w:rsidRPr="00C5758B">
        <w:t xml:space="preserve"> More Dynamic Innovati</w:t>
      </w:r>
      <w:r w:rsidR="00F74A4F">
        <w:t xml:space="preserve">on </w:t>
      </w:r>
      <w:r w:rsidR="00BF1EE5" w:rsidRPr="00C5758B">
        <w:t>in Europe</w:t>
      </w:r>
    </w:p>
    <w:p w14:paraId="402CBB4F" w14:textId="77777777" w:rsidR="00BF1EE5" w:rsidRPr="00C5758B" w:rsidRDefault="00BF1EE5" w:rsidP="005113E8">
      <w:pPr>
        <w:jc w:val="both"/>
        <w:rPr>
          <w:rFonts w:ascii="Calibri" w:hAnsi="Calibri" w:cs="Calibri"/>
        </w:rPr>
      </w:pPr>
    </w:p>
    <w:p w14:paraId="0F1AA6F6" w14:textId="147DB1AC" w:rsidR="005876D8" w:rsidRPr="008C618A" w:rsidRDefault="00BA2D00" w:rsidP="005113E8">
      <w:pPr>
        <w:pStyle w:val="ListParagraph"/>
        <w:numPr>
          <w:ilvl w:val="0"/>
          <w:numId w:val="36"/>
        </w:numPr>
        <w:jc w:val="both"/>
        <w:rPr>
          <w:rFonts w:ascii="Calibri" w:hAnsi="Calibri" w:cs="Calibri"/>
        </w:rPr>
      </w:pPr>
      <w:r w:rsidRPr="0093273B">
        <w:rPr>
          <w:rFonts w:ascii="Calibri" w:hAnsi="Calibri" w:cs="Calibri"/>
          <w:b/>
        </w:rPr>
        <w:t>Seven-year</w:t>
      </w:r>
      <w:r w:rsidR="0093273B" w:rsidRPr="0093273B">
        <w:rPr>
          <w:rFonts w:ascii="Calibri" w:hAnsi="Calibri" w:cs="Calibri"/>
          <w:b/>
        </w:rPr>
        <w:t xml:space="preserve"> rules:</w:t>
      </w:r>
      <w:r w:rsidR="005113E8">
        <w:rPr>
          <w:rFonts w:ascii="Calibri" w:hAnsi="Calibri" w:cs="Calibri"/>
        </w:rPr>
        <w:t xml:space="preserve"> </w:t>
      </w:r>
      <w:r w:rsidR="005876D8" w:rsidRPr="008C618A">
        <w:rPr>
          <w:rFonts w:ascii="Calibri" w:hAnsi="Calibri" w:cs="Calibri"/>
        </w:rPr>
        <w:t xml:space="preserve">The </w:t>
      </w:r>
      <w:r w:rsidR="00F74A4F" w:rsidRPr="008C618A">
        <w:rPr>
          <w:rFonts w:ascii="Calibri" w:hAnsi="Calibri" w:cs="Calibri"/>
        </w:rPr>
        <w:t xml:space="preserve">complex </w:t>
      </w:r>
      <w:r w:rsidR="005876D8" w:rsidRPr="008C618A">
        <w:rPr>
          <w:rFonts w:ascii="Calibri" w:hAnsi="Calibri" w:cs="Calibri"/>
        </w:rPr>
        <w:t>seven-year duration rules tied to the 25% market share threshold are hang-overs from another era.</w:t>
      </w:r>
      <w:r w:rsidR="005113E8">
        <w:rPr>
          <w:rFonts w:ascii="Calibri" w:hAnsi="Calibri" w:cs="Calibri"/>
        </w:rPr>
        <w:t xml:space="preserve"> </w:t>
      </w:r>
      <w:r w:rsidR="005876D8" w:rsidRPr="008C618A">
        <w:rPr>
          <w:rFonts w:ascii="Calibri" w:hAnsi="Calibri" w:cs="Calibri"/>
        </w:rPr>
        <w:t>They serve little practical purpose in the real world.</w:t>
      </w:r>
      <w:r w:rsidR="005113E8">
        <w:rPr>
          <w:rFonts w:ascii="Calibri" w:hAnsi="Calibri" w:cs="Calibri"/>
        </w:rPr>
        <w:t xml:space="preserve"> </w:t>
      </w:r>
      <w:r w:rsidR="005876D8" w:rsidRPr="008C618A">
        <w:rPr>
          <w:rFonts w:ascii="Calibri" w:hAnsi="Calibri" w:cs="Calibri"/>
        </w:rPr>
        <w:t>The revised rules should take a more progressive approach</w:t>
      </w:r>
      <w:r w:rsidR="00C41EFB">
        <w:rPr>
          <w:rFonts w:ascii="Calibri" w:hAnsi="Calibri" w:cs="Calibri"/>
        </w:rPr>
        <w:t xml:space="preserve"> by</w:t>
      </w:r>
      <w:r w:rsidR="005876D8" w:rsidRPr="008C618A">
        <w:rPr>
          <w:rFonts w:ascii="Calibri" w:hAnsi="Calibri" w:cs="Calibri"/>
        </w:rPr>
        <w:t xml:space="preserve"> applying the safe harbour for as long as the</w:t>
      </w:r>
      <w:r w:rsidR="005A730C" w:rsidRPr="008C618A">
        <w:rPr>
          <w:rFonts w:ascii="Calibri" w:hAnsi="Calibri" w:cs="Calibri"/>
        </w:rPr>
        <w:t xml:space="preserve"> R&amp;D results are protected by IPRs</w:t>
      </w:r>
      <w:r w:rsidR="00C41EFB">
        <w:rPr>
          <w:rFonts w:ascii="Calibri" w:hAnsi="Calibri" w:cs="Calibri"/>
        </w:rPr>
        <w:t>,</w:t>
      </w:r>
      <w:r w:rsidR="005A730C" w:rsidRPr="008C618A">
        <w:rPr>
          <w:rFonts w:ascii="Calibri" w:hAnsi="Calibri" w:cs="Calibri"/>
        </w:rPr>
        <w:t xml:space="preserve"> and indefinitely thereafter absent conduct that is blatantly exclusionary.</w:t>
      </w:r>
    </w:p>
    <w:p w14:paraId="0C83D601" w14:textId="77777777" w:rsidR="005876D8" w:rsidRDefault="005876D8">
      <w:pPr>
        <w:rPr>
          <w:rFonts w:ascii="Calibri" w:hAnsi="Calibri" w:cs="Calibri"/>
        </w:rPr>
      </w:pPr>
    </w:p>
    <w:p w14:paraId="38B5A567" w14:textId="21A0C478" w:rsidR="00BF1EE5" w:rsidRPr="008C618A" w:rsidRDefault="00C41EFB" w:rsidP="005113E8">
      <w:pPr>
        <w:pStyle w:val="ListParagraph"/>
        <w:numPr>
          <w:ilvl w:val="0"/>
          <w:numId w:val="36"/>
        </w:numPr>
        <w:jc w:val="both"/>
        <w:rPr>
          <w:rFonts w:ascii="Calibri" w:hAnsi="Calibri" w:cs="Calibri"/>
        </w:rPr>
      </w:pPr>
      <w:r w:rsidRPr="00C41EFB">
        <w:rPr>
          <w:rFonts w:ascii="Calibri" w:hAnsi="Calibri" w:cs="Calibri"/>
          <w:b/>
        </w:rPr>
        <w:t>Access to know-how and results:</w:t>
      </w:r>
      <w:r w:rsidR="005113E8">
        <w:rPr>
          <w:rFonts w:ascii="Calibri" w:hAnsi="Calibri" w:cs="Calibri"/>
        </w:rPr>
        <w:t xml:space="preserve"> </w:t>
      </w:r>
      <w:r w:rsidR="00BF1EE5" w:rsidRPr="008C618A">
        <w:rPr>
          <w:rFonts w:ascii="Calibri" w:hAnsi="Calibri" w:cs="Calibri"/>
        </w:rPr>
        <w:t>The requirement that bodies carrying out R&amp;D as a commercial service be entitled to pre-existing know-how and to the final results of the paid-f</w:t>
      </w:r>
      <w:r w:rsidR="005876D8" w:rsidRPr="008C618A">
        <w:rPr>
          <w:rFonts w:ascii="Calibri" w:hAnsi="Calibri" w:cs="Calibri"/>
        </w:rPr>
        <w:t>o</w:t>
      </w:r>
      <w:r w:rsidR="00BF1EE5" w:rsidRPr="008C618A">
        <w:rPr>
          <w:rFonts w:ascii="Calibri" w:hAnsi="Calibri" w:cs="Calibri"/>
        </w:rPr>
        <w:t>r R&amp;D for the purposes of further research has been a long-standing barrier to R&amp;D collaboration in the EU compared to other jurisdictions that have less stringent competition rules and deeper capital markets that are a magnet for R&amp;D investment.</w:t>
      </w:r>
      <w:r w:rsidR="005113E8">
        <w:rPr>
          <w:rFonts w:ascii="Calibri" w:hAnsi="Calibri" w:cs="Calibri"/>
        </w:rPr>
        <w:t xml:space="preserve"> </w:t>
      </w:r>
      <w:r w:rsidR="00BF1EE5" w:rsidRPr="008C618A">
        <w:rPr>
          <w:rFonts w:ascii="Calibri" w:hAnsi="Calibri" w:cs="Calibri"/>
        </w:rPr>
        <w:t xml:space="preserve">The EU's stricter </w:t>
      </w:r>
      <w:r w:rsidR="005A730C" w:rsidRPr="008C618A">
        <w:rPr>
          <w:rFonts w:ascii="Calibri" w:hAnsi="Calibri" w:cs="Calibri"/>
        </w:rPr>
        <w:t xml:space="preserve">competition </w:t>
      </w:r>
      <w:r w:rsidR="00BF1EE5" w:rsidRPr="008C618A">
        <w:rPr>
          <w:rFonts w:ascii="Calibri" w:hAnsi="Calibri" w:cs="Calibri"/>
        </w:rPr>
        <w:t>rules compound its competitive disadvantage.</w:t>
      </w:r>
      <w:r w:rsidR="005113E8">
        <w:rPr>
          <w:rFonts w:ascii="Calibri" w:hAnsi="Calibri" w:cs="Calibri"/>
        </w:rPr>
        <w:t xml:space="preserve"> </w:t>
      </w:r>
      <w:r w:rsidR="00BF1EE5" w:rsidRPr="008C618A">
        <w:rPr>
          <w:rFonts w:ascii="Calibri" w:hAnsi="Calibri" w:cs="Calibri"/>
        </w:rPr>
        <w:t xml:space="preserve">These restrictions should be lifted to stimulate more collaborative </w:t>
      </w:r>
      <w:r w:rsidR="00BA2D00" w:rsidRPr="008C618A">
        <w:rPr>
          <w:rFonts w:ascii="Calibri" w:hAnsi="Calibri" w:cs="Calibri"/>
        </w:rPr>
        <w:t>high-risk</w:t>
      </w:r>
      <w:r w:rsidR="00BF1EE5" w:rsidRPr="008C618A">
        <w:rPr>
          <w:rFonts w:ascii="Calibri" w:hAnsi="Calibri" w:cs="Calibri"/>
        </w:rPr>
        <w:t xml:space="preserve"> innovation.</w:t>
      </w:r>
      <w:r w:rsidR="005113E8">
        <w:rPr>
          <w:rFonts w:ascii="Calibri" w:hAnsi="Calibri" w:cs="Calibri"/>
        </w:rPr>
        <w:t xml:space="preserve"> </w:t>
      </w:r>
    </w:p>
    <w:p w14:paraId="2B972D5F" w14:textId="77777777" w:rsidR="00BF1EE5" w:rsidRPr="00C5758B" w:rsidRDefault="00BF1EE5" w:rsidP="005113E8">
      <w:pPr>
        <w:jc w:val="both"/>
        <w:rPr>
          <w:rFonts w:ascii="Calibri" w:hAnsi="Calibri" w:cs="Calibri"/>
        </w:rPr>
      </w:pPr>
    </w:p>
    <w:p w14:paraId="61B45DE4" w14:textId="2245E910" w:rsidR="00C41EFB" w:rsidRDefault="00C41EFB" w:rsidP="005113E8">
      <w:pPr>
        <w:pStyle w:val="ListParagraph"/>
        <w:numPr>
          <w:ilvl w:val="0"/>
          <w:numId w:val="36"/>
        </w:numPr>
        <w:jc w:val="both"/>
        <w:rPr>
          <w:rFonts w:ascii="Calibri" w:hAnsi="Calibri" w:cs="Calibri"/>
        </w:rPr>
      </w:pPr>
      <w:r w:rsidRPr="00C41EFB">
        <w:rPr>
          <w:rFonts w:ascii="Calibri" w:hAnsi="Calibri" w:cs="Calibri"/>
          <w:b/>
        </w:rPr>
        <w:t>The joint exploitation rule:</w:t>
      </w:r>
      <w:r w:rsidR="005113E8">
        <w:rPr>
          <w:rFonts w:ascii="Calibri" w:hAnsi="Calibri" w:cs="Calibri"/>
          <w:b/>
        </w:rPr>
        <w:t xml:space="preserve"> </w:t>
      </w:r>
      <w:r w:rsidR="005A730C" w:rsidRPr="008C618A">
        <w:rPr>
          <w:rFonts w:ascii="Calibri" w:hAnsi="Calibri" w:cs="Calibri"/>
        </w:rPr>
        <w:t xml:space="preserve">Another </w:t>
      </w:r>
      <w:r w:rsidR="002B38DC" w:rsidRPr="008C618A">
        <w:rPr>
          <w:rFonts w:ascii="Calibri" w:hAnsi="Calibri" w:cs="Calibri"/>
        </w:rPr>
        <w:t xml:space="preserve">significant limitation to the usefulness of the </w:t>
      </w:r>
      <w:r w:rsidR="005A730C" w:rsidRPr="008C618A">
        <w:rPr>
          <w:rFonts w:ascii="Calibri" w:hAnsi="Calibri" w:cs="Calibri"/>
        </w:rPr>
        <w:t xml:space="preserve">existing </w:t>
      </w:r>
      <w:r w:rsidR="002B38DC" w:rsidRPr="008C618A">
        <w:rPr>
          <w:rFonts w:ascii="Calibri" w:hAnsi="Calibri" w:cs="Calibri"/>
        </w:rPr>
        <w:t xml:space="preserve">R&amp;D block exemption is the prohibition on the parties agreeing to limit output or sales and to fix prices unless they jointly exploit the R&amp;D results via a joint team, organisation or undertaking, or jointly entrust such exploitation to a third party. </w:t>
      </w:r>
    </w:p>
    <w:p w14:paraId="5F82DF80" w14:textId="77777777" w:rsidR="00C41EFB" w:rsidRPr="00C41EFB" w:rsidRDefault="00C41EFB" w:rsidP="005113E8">
      <w:pPr>
        <w:ind w:left="360"/>
        <w:jc w:val="both"/>
        <w:rPr>
          <w:rFonts w:ascii="Calibri" w:hAnsi="Calibri" w:cs="Calibri"/>
        </w:rPr>
      </w:pPr>
    </w:p>
    <w:p w14:paraId="3AC50C04" w14:textId="0ACAE852" w:rsidR="00C41EFB" w:rsidRDefault="002B38DC" w:rsidP="005113E8">
      <w:pPr>
        <w:ind w:left="720"/>
        <w:jc w:val="both"/>
        <w:rPr>
          <w:rFonts w:ascii="Calibri" w:hAnsi="Calibri" w:cs="Calibri"/>
        </w:rPr>
      </w:pPr>
      <w:r w:rsidRPr="00C41EFB">
        <w:rPr>
          <w:rFonts w:ascii="Calibri" w:hAnsi="Calibri" w:cs="Calibri"/>
        </w:rPr>
        <w:t>Especially in the pharmaceutical sector, it may be more efficient for parties to allocate territories in which they will market and/or co-promote the results of their joint R&amp;D</w:t>
      </w:r>
      <w:r w:rsidR="005A730C" w:rsidRPr="00C41EFB">
        <w:rPr>
          <w:rFonts w:ascii="Calibri" w:hAnsi="Calibri" w:cs="Calibri"/>
        </w:rPr>
        <w:t xml:space="preserve"> given the investment in specially qualified staff and local regulatory </w:t>
      </w:r>
      <w:r w:rsidR="00C41EFB">
        <w:rPr>
          <w:rFonts w:ascii="Calibri" w:hAnsi="Calibri" w:cs="Calibri"/>
        </w:rPr>
        <w:t xml:space="preserve">and medical </w:t>
      </w:r>
      <w:r w:rsidR="005A730C" w:rsidRPr="00C41EFB">
        <w:rPr>
          <w:rFonts w:ascii="Calibri" w:hAnsi="Calibri" w:cs="Calibri"/>
        </w:rPr>
        <w:t>knowledge required to market specific medicines</w:t>
      </w:r>
      <w:r w:rsidR="00C41EFB">
        <w:rPr>
          <w:rFonts w:ascii="Calibri" w:hAnsi="Calibri" w:cs="Calibri"/>
        </w:rPr>
        <w:t xml:space="preserve"> </w:t>
      </w:r>
      <w:r w:rsidR="00C41EFB" w:rsidRPr="00C41EFB">
        <w:rPr>
          <w:rFonts w:ascii="Calibri" w:hAnsi="Calibri" w:cs="Calibri"/>
        </w:rPr>
        <w:t>with new biochemical characteristics and safety profile</w:t>
      </w:r>
      <w:r w:rsidR="00C41EFB">
        <w:rPr>
          <w:rFonts w:ascii="Calibri" w:hAnsi="Calibri" w:cs="Calibri"/>
        </w:rPr>
        <w:t>s</w:t>
      </w:r>
      <w:r w:rsidR="005A730C" w:rsidRPr="00C41EFB">
        <w:rPr>
          <w:rFonts w:ascii="Calibri" w:hAnsi="Calibri" w:cs="Calibri"/>
        </w:rPr>
        <w:t xml:space="preserve"> in any given territory</w:t>
      </w:r>
      <w:r w:rsidRPr="00C41EFB">
        <w:rPr>
          <w:rFonts w:ascii="Calibri" w:hAnsi="Calibri" w:cs="Calibri"/>
        </w:rPr>
        <w:t>.</w:t>
      </w:r>
      <w:r w:rsidR="005113E8">
        <w:rPr>
          <w:rFonts w:ascii="Calibri" w:hAnsi="Calibri" w:cs="Calibri"/>
        </w:rPr>
        <w:t xml:space="preserve"> </w:t>
      </w:r>
      <w:r w:rsidR="005A730C" w:rsidRPr="00C41EFB">
        <w:rPr>
          <w:rFonts w:ascii="Calibri" w:hAnsi="Calibri" w:cs="Calibri"/>
        </w:rPr>
        <w:t>I</w:t>
      </w:r>
      <w:r w:rsidR="006009AF" w:rsidRPr="00C41EFB">
        <w:rPr>
          <w:rFonts w:ascii="Calibri" w:hAnsi="Calibri" w:cs="Calibri"/>
        </w:rPr>
        <w:t>n this scenario, i</w:t>
      </w:r>
      <w:r w:rsidRPr="00C41EFB">
        <w:rPr>
          <w:rFonts w:ascii="Calibri" w:hAnsi="Calibri" w:cs="Calibri"/>
        </w:rPr>
        <w:t>nternational reference pricing</w:t>
      </w:r>
      <w:r w:rsidR="005A730C" w:rsidRPr="00C41EFB">
        <w:rPr>
          <w:rFonts w:ascii="Calibri" w:hAnsi="Calibri" w:cs="Calibri"/>
        </w:rPr>
        <w:t xml:space="preserve"> means that</w:t>
      </w:r>
      <w:r w:rsidRPr="00C41EFB">
        <w:rPr>
          <w:rFonts w:ascii="Calibri" w:hAnsi="Calibri" w:cs="Calibri"/>
        </w:rPr>
        <w:t xml:space="preserve"> there are objective reasons for the parties to be able to coordinate </w:t>
      </w:r>
      <w:proofErr w:type="gramStart"/>
      <w:r w:rsidRPr="00C41EFB">
        <w:rPr>
          <w:rFonts w:ascii="Calibri" w:hAnsi="Calibri" w:cs="Calibri"/>
        </w:rPr>
        <w:t>in order to</w:t>
      </w:r>
      <w:proofErr w:type="gramEnd"/>
      <w:r w:rsidRPr="00C41EFB">
        <w:rPr>
          <w:rFonts w:ascii="Calibri" w:hAnsi="Calibri" w:cs="Calibri"/>
        </w:rPr>
        <w:t xml:space="preserve"> obtain </w:t>
      </w:r>
      <w:r w:rsidR="00EF31FF" w:rsidRPr="00C41EFB">
        <w:rPr>
          <w:rFonts w:ascii="Calibri" w:hAnsi="Calibri" w:cs="Calibri"/>
        </w:rPr>
        <w:t xml:space="preserve">reimbursement list </w:t>
      </w:r>
      <w:r w:rsidRPr="00C41EFB">
        <w:rPr>
          <w:rFonts w:ascii="Calibri" w:hAnsi="Calibri" w:cs="Calibri"/>
        </w:rPr>
        <w:t>prices in markets that represent an optimal outcome for the parties and patients alike</w:t>
      </w:r>
      <w:r w:rsidR="006009AF" w:rsidRPr="00C41EFB">
        <w:rPr>
          <w:rFonts w:ascii="Calibri" w:hAnsi="Calibri" w:cs="Calibri"/>
        </w:rPr>
        <w:t>,</w:t>
      </w:r>
      <w:r w:rsidR="005A730C" w:rsidRPr="00C41EFB">
        <w:rPr>
          <w:rFonts w:ascii="Calibri" w:hAnsi="Calibri" w:cs="Calibri"/>
        </w:rPr>
        <w:t xml:space="preserve"> regardless of the formalities of who actually distributes the products</w:t>
      </w:r>
      <w:r w:rsidRPr="00C41EFB">
        <w:rPr>
          <w:rFonts w:ascii="Calibri" w:hAnsi="Calibri" w:cs="Calibri"/>
        </w:rPr>
        <w:t>.</w:t>
      </w:r>
      <w:r w:rsidR="005113E8">
        <w:rPr>
          <w:rFonts w:ascii="Calibri" w:hAnsi="Calibri" w:cs="Calibri"/>
        </w:rPr>
        <w:t xml:space="preserve"> </w:t>
      </w:r>
    </w:p>
    <w:p w14:paraId="346AB91D" w14:textId="77777777" w:rsidR="00C41EFB" w:rsidRDefault="00C41EFB" w:rsidP="005113E8">
      <w:pPr>
        <w:ind w:left="720"/>
        <w:jc w:val="both"/>
        <w:rPr>
          <w:rFonts w:ascii="Calibri" w:hAnsi="Calibri" w:cs="Calibri"/>
        </w:rPr>
      </w:pPr>
    </w:p>
    <w:p w14:paraId="7D4C6832" w14:textId="2F9DF940" w:rsidR="002B38DC" w:rsidRPr="00C41EFB" w:rsidRDefault="002B38DC" w:rsidP="005113E8">
      <w:pPr>
        <w:ind w:left="720"/>
        <w:jc w:val="both"/>
        <w:rPr>
          <w:rFonts w:ascii="Calibri" w:hAnsi="Calibri" w:cs="Calibri"/>
        </w:rPr>
      </w:pPr>
      <w:r w:rsidRPr="00C41EFB">
        <w:rPr>
          <w:rFonts w:ascii="Calibri" w:hAnsi="Calibri" w:cs="Calibri"/>
        </w:rPr>
        <w:t>F</w:t>
      </w:r>
      <w:r w:rsidR="005A730C" w:rsidRPr="00C41EFB">
        <w:rPr>
          <w:rFonts w:ascii="Calibri" w:hAnsi="Calibri" w:cs="Calibri"/>
        </w:rPr>
        <w:t>rom</w:t>
      </w:r>
      <w:r w:rsidRPr="00C41EFB">
        <w:rPr>
          <w:rFonts w:ascii="Calibri" w:hAnsi="Calibri" w:cs="Calibri"/>
        </w:rPr>
        <w:t xml:space="preserve"> a practical </w:t>
      </w:r>
      <w:proofErr w:type="gramStart"/>
      <w:r w:rsidRPr="00C41EFB">
        <w:rPr>
          <w:rFonts w:ascii="Calibri" w:hAnsi="Calibri" w:cs="Calibri"/>
        </w:rPr>
        <w:t>outcomes</w:t>
      </w:r>
      <w:proofErr w:type="gramEnd"/>
      <w:r w:rsidRPr="00C41EFB">
        <w:rPr>
          <w:rFonts w:ascii="Calibri" w:hAnsi="Calibri" w:cs="Calibri"/>
        </w:rPr>
        <w:t xml:space="preserve"> perspective, what is the difference between this scenario and the scenario where both parties appoint a third party (or set up a JV) but agree to instruct the third party (or JV) on volumes and prices?</w:t>
      </w:r>
      <w:r w:rsidR="005113E8">
        <w:rPr>
          <w:rFonts w:ascii="Calibri" w:hAnsi="Calibri" w:cs="Calibri"/>
        </w:rPr>
        <w:t xml:space="preserve"> </w:t>
      </w:r>
      <w:r w:rsidRPr="00C41EFB">
        <w:rPr>
          <w:rFonts w:ascii="Calibri" w:hAnsi="Calibri" w:cs="Calibri"/>
        </w:rPr>
        <w:t xml:space="preserve">Companies and their advisors struggle to understand why such conduct is </w:t>
      </w:r>
      <w:proofErr w:type="gramStart"/>
      <w:r w:rsidRPr="00C41EFB">
        <w:rPr>
          <w:rFonts w:ascii="Calibri" w:hAnsi="Calibri" w:cs="Calibri"/>
        </w:rPr>
        <w:t>black listed</w:t>
      </w:r>
      <w:proofErr w:type="gramEnd"/>
      <w:r w:rsidRPr="00C41EFB">
        <w:rPr>
          <w:rFonts w:ascii="Calibri" w:hAnsi="Calibri" w:cs="Calibri"/>
        </w:rPr>
        <w:t xml:space="preserve"> in Europe but permissible in other advanced economies such as the U.S. </w:t>
      </w:r>
    </w:p>
    <w:p w14:paraId="77463E1F" w14:textId="77777777" w:rsidR="002B38DC" w:rsidRPr="00C5758B" w:rsidRDefault="002B38DC" w:rsidP="005113E8">
      <w:pPr>
        <w:jc w:val="both"/>
        <w:rPr>
          <w:rFonts w:ascii="Calibri" w:hAnsi="Calibri" w:cs="Calibri"/>
        </w:rPr>
      </w:pPr>
    </w:p>
    <w:p w14:paraId="5CCA241F" w14:textId="77777777" w:rsidR="00F557B7" w:rsidRDefault="00F557B7" w:rsidP="005113E8">
      <w:pPr>
        <w:pStyle w:val="Heading1"/>
        <w:jc w:val="both"/>
        <w:sectPr w:rsidR="00F557B7" w:rsidSect="00B12287">
          <w:footerReference w:type="default" r:id="rId12"/>
          <w:pgSz w:w="11906" w:h="16838"/>
          <w:pgMar w:top="2160" w:right="1440" w:bottom="2160" w:left="1440" w:header="708" w:footer="708" w:gutter="0"/>
          <w:cols w:space="708"/>
          <w:docGrid w:linePitch="360"/>
        </w:sectPr>
      </w:pPr>
    </w:p>
    <w:p w14:paraId="51D892A7" w14:textId="77777777" w:rsidR="002B38DC" w:rsidRPr="00C5758B" w:rsidRDefault="0093273B" w:rsidP="005113E8">
      <w:pPr>
        <w:pStyle w:val="Heading1"/>
        <w:jc w:val="both"/>
      </w:pPr>
      <w:r>
        <w:lastRenderedPageBreak/>
        <w:t>4.</w:t>
      </w:r>
      <w:r>
        <w:tab/>
      </w:r>
      <w:r w:rsidR="002B38DC" w:rsidRPr="00C5758B">
        <w:t>Withdrawal Procedure</w:t>
      </w:r>
    </w:p>
    <w:p w14:paraId="7C7EDEE4" w14:textId="77777777" w:rsidR="002B38DC" w:rsidRPr="00C5758B" w:rsidRDefault="002B38DC" w:rsidP="005113E8">
      <w:pPr>
        <w:jc w:val="both"/>
        <w:rPr>
          <w:rFonts w:ascii="Calibri" w:hAnsi="Calibri" w:cs="Calibri"/>
          <w:b/>
        </w:rPr>
      </w:pPr>
    </w:p>
    <w:p w14:paraId="2A39C2F2" w14:textId="305F3C8A" w:rsidR="00146501" w:rsidRPr="008C618A" w:rsidRDefault="002B38DC" w:rsidP="005113E8">
      <w:pPr>
        <w:pStyle w:val="ListParagraph"/>
        <w:numPr>
          <w:ilvl w:val="0"/>
          <w:numId w:val="36"/>
        </w:numPr>
        <w:jc w:val="both"/>
        <w:rPr>
          <w:rFonts w:ascii="Calibri" w:hAnsi="Calibri" w:cs="Calibri"/>
        </w:rPr>
      </w:pPr>
      <w:r w:rsidRPr="008C618A">
        <w:rPr>
          <w:rFonts w:ascii="Calibri" w:hAnsi="Calibri" w:cs="Calibri"/>
        </w:rPr>
        <w:t>The Commission has never yet withdraw</w:t>
      </w:r>
      <w:r w:rsidR="00EE3D49" w:rsidRPr="008C618A">
        <w:rPr>
          <w:rFonts w:ascii="Calibri" w:hAnsi="Calibri" w:cs="Calibri"/>
        </w:rPr>
        <w:t>n</w:t>
      </w:r>
      <w:r w:rsidRPr="008C618A">
        <w:rPr>
          <w:rFonts w:ascii="Calibri" w:hAnsi="Calibri" w:cs="Calibri"/>
        </w:rPr>
        <w:t xml:space="preserve"> the benefit of a block exemption Regulation.</w:t>
      </w:r>
      <w:r w:rsidR="005113E8">
        <w:rPr>
          <w:rFonts w:ascii="Calibri" w:hAnsi="Calibri" w:cs="Calibri"/>
        </w:rPr>
        <w:t xml:space="preserve"> </w:t>
      </w:r>
      <w:r w:rsidRPr="008C618A">
        <w:rPr>
          <w:rFonts w:ascii="Calibri" w:hAnsi="Calibri" w:cs="Calibri"/>
        </w:rPr>
        <w:t>If</w:t>
      </w:r>
      <w:r w:rsidR="00146501" w:rsidRPr="008C618A">
        <w:rPr>
          <w:rFonts w:ascii="Calibri" w:hAnsi="Calibri" w:cs="Calibri"/>
        </w:rPr>
        <w:t xml:space="preserve"> this power is deemed necessary, it should be restricted to scenarios that are evidently harmful to competition in the context in question.</w:t>
      </w:r>
      <w:r w:rsidR="005113E8">
        <w:rPr>
          <w:rFonts w:ascii="Calibri" w:hAnsi="Calibri" w:cs="Calibri"/>
        </w:rPr>
        <w:t xml:space="preserve"> </w:t>
      </w:r>
    </w:p>
    <w:p w14:paraId="04F889F8" w14:textId="77777777" w:rsidR="00146501" w:rsidRPr="00C5758B" w:rsidRDefault="00146501" w:rsidP="005113E8">
      <w:pPr>
        <w:jc w:val="both"/>
        <w:rPr>
          <w:rFonts w:ascii="Calibri" w:hAnsi="Calibri" w:cs="Calibri"/>
        </w:rPr>
      </w:pPr>
    </w:p>
    <w:p w14:paraId="4DD1B095" w14:textId="3EF4FA10" w:rsidR="002B38DC" w:rsidRPr="008C618A" w:rsidRDefault="00146501" w:rsidP="005113E8">
      <w:pPr>
        <w:pStyle w:val="ListParagraph"/>
        <w:numPr>
          <w:ilvl w:val="0"/>
          <w:numId w:val="36"/>
        </w:numPr>
        <w:jc w:val="both"/>
        <w:rPr>
          <w:rFonts w:ascii="Calibri" w:hAnsi="Calibri" w:cs="Calibri"/>
        </w:rPr>
      </w:pPr>
      <w:r w:rsidRPr="008C618A">
        <w:rPr>
          <w:rFonts w:ascii="Calibri" w:hAnsi="Calibri" w:cs="Calibri"/>
        </w:rPr>
        <w:t xml:space="preserve">The ability to withdraw the R&amp;D block exemption should </w:t>
      </w:r>
      <w:r w:rsidR="00EE3D49" w:rsidRPr="008C618A">
        <w:rPr>
          <w:rFonts w:ascii="Calibri" w:hAnsi="Calibri" w:cs="Calibri"/>
        </w:rPr>
        <w:t xml:space="preserve">therefore </w:t>
      </w:r>
      <w:r w:rsidRPr="008C618A">
        <w:rPr>
          <w:rFonts w:ascii="Calibri" w:hAnsi="Calibri" w:cs="Calibri"/>
        </w:rPr>
        <w:t>be limited to the scenario where the parties do not exploit the results of the R&amp;D without any objectively valid reason.</w:t>
      </w:r>
      <w:r w:rsidR="005113E8">
        <w:rPr>
          <w:rFonts w:ascii="Calibri" w:hAnsi="Calibri" w:cs="Calibri"/>
        </w:rPr>
        <w:t xml:space="preserve"> </w:t>
      </w:r>
      <w:r w:rsidRPr="008C618A">
        <w:rPr>
          <w:rFonts w:ascii="Calibri" w:hAnsi="Calibri" w:cs="Calibri"/>
        </w:rPr>
        <w:t>The phrase "vis-à-vis third parties" should be deleted from th</w:t>
      </w:r>
      <w:r w:rsidR="00C41EFB">
        <w:rPr>
          <w:rFonts w:ascii="Calibri" w:hAnsi="Calibri" w:cs="Calibri"/>
        </w:rPr>
        <w:t>i</w:t>
      </w:r>
      <w:r w:rsidRPr="008C618A">
        <w:rPr>
          <w:rFonts w:ascii="Calibri" w:hAnsi="Calibri" w:cs="Calibri"/>
        </w:rPr>
        <w:t>s clause (Article 10(2)(c)) because it creates unnecessary uncertainty.</w:t>
      </w:r>
      <w:r w:rsidR="005113E8">
        <w:rPr>
          <w:rFonts w:ascii="Calibri" w:hAnsi="Calibri" w:cs="Calibri"/>
        </w:rPr>
        <w:t xml:space="preserve"> </w:t>
      </w:r>
      <w:r w:rsidRPr="008C618A">
        <w:rPr>
          <w:rFonts w:ascii="Calibri" w:hAnsi="Calibri" w:cs="Calibri"/>
        </w:rPr>
        <w:t xml:space="preserve">If the joint or paid-for R&amp;D improves an upstream process in the development or production of a product, such "internal" exploitation </w:t>
      </w:r>
      <w:r w:rsidR="00EE3D49" w:rsidRPr="008C618A">
        <w:rPr>
          <w:rFonts w:ascii="Calibri" w:hAnsi="Calibri" w:cs="Calibri"/>
        </w:rPr>
        <w:t xml:space="preserve">by one of the parties </w:t>
      </w:r>
      <w:r w:rsidRPr="008C618A">
        <w:rPr>
          <w:rFonts w:ascii="Calibri" w:hAnsi="Calibri" w:cs="Calibri"/>
        </w:rPr>
        <w:t xml:space="preserve">should suffice to merit block exemption coverage. </w:t>
      </w:r>
    </w:p>
    <w:p w14:paraId="00701488" w14:textId="77777777" w:rsidR="00146501" w:rsidRPr="00C5758B" w:rsidRDefault="00146501" w:rsidP="005113E8">
      <w:pPr>
        <w:jc w:val="both"/>
        <w:rPr>
          <w:rFonts w:ascii="Calibri" w:hAnsi="Calibri" w:cs="Calibri"/>
        </w:rPr>
      </w:pPr>
    </w:p>
    <w:p w14:paraId="66D0550F" w14:textId="0D8F9257" w:rsidR="00146501" w:rsidRPr="008C618A" w:rsidRDefault="00146501" w:rsidP="005113E8">
      <w:pPr>
        <w:pStyle w:val="ListParagraph"/>
        <w:numPr>
          <w:ilvl w:val="0"/>
          <w:numId w:val="36"/>
        </w:numPr>
        <w:jc w:val="both"/>
        <w:rPr>
          <w:rFonts w:ascii="Calibri" w:hAnsi="Calibri" w:cs="Calibri"/>
        </w:rPr>
      </w:pPr>
      <w:r w:rsidRPr="008C618A">
        <w:rPr>
          <w:rFonts w:ascii="Calibri" w:hAnsi="Calibri" w:cs="Calibri"/>
        </w:rPr>
        <w:t xml:space="preserve">It is hard to </w:t>
      </w:r>
      <w:r w:rsidR="00037C8F" w:rsidRPr="008C618A">
        <w:rPr>
          <w:rFonts w:ascii="Calibri" w:hAnsi="Calibri" w:cs="Calibri"/>
        </w:rPr>
        <w:t>imagine the circumstances in which an R&amp;D agreement could substantially restrict the scope for third parties to carry out R&amp;D activities in related fields (Article 10(2)(a)), or substantially restrict third party access to the market for the contract products/technologies (Article 10(2)(b)).</w:t>
      </w:r>
      <w:r w:rsidR="005113E8">
        <w:rPr>
          <w:rFonts w:ascii="Calibri" w:hAnsi="Calibri" w:cs="Calibri"/>
        </w:rPr>
        <w:t xml:space="preserve"> </w:t>
      </w:r>
      <w:r w:rsidR="00EE3D49" w:rsidRPr="008C618A">
        <w:rPr>
          <w:rFonts w:ascii="Calibri" w:hAnsi="Calibri" w:cs="Calibri"/>
        </w:rPr>
        <w:t>The draft guidelines shed no light other than to suggest</w:t>
      </w:r>
      <w:r w:rsidR="005113E8">
        <w:rPr>
          <w:rFonts w:ascii="Calibri" w:hAnsi="Calibri" w:cs="Calibri"/>
        </w:rPr>
        <w:t xml:space="preserve"> </w:t>
      </w:r>
      <w:r w:rsidR="00EE3D49" w:rsidRPr="008C618A">
        <w:rPr>
          <w:rFonts w:ascii="Calibri" w:hAnsi="Calibri" w:cs="Calibri"/>
        </w:rPr>
        <w:t>that foreclosure of third parties "may arise, in particular, when at least one party to the R&amp;D agreement has the right to exclusive exploitation of the results of the R&amp;D and at least one party has a significant degree of market power"</w:t>
      </w:r>
      <w:r w:rsidR="00395EC3">
        <w:rPr>
          <w:rFonts w:ascii="Calibri" w:hAnsi="Calibri" w:cs="Calibri"/>
        </w:rPr>
        <w:t xml:space="preserve"> </w:t>
      </w:r>
      <w:r w:rsidR="00395EC3" w:rsidRPr="008C618A">
        <w:rPr>
          <w:rFonts w:ascii="Calibri" w:hAnsi="Calibri" w:cs="Calibri"/>
        </w:rPr>
        <w:t>(§68)</w:t>
      </w:r>
      <w:r w:rsidR="00EE3D49" w:rsidRPr="008C618A">
        <w:rPr>
          <w:rFonts w:ascii="Calibri" w:hAnsi="Calibri" w:cs="Calibri"/>
        </w:rPr>
        <w:t>.</w:t>
      </w:r>
      <w:r w:rsidR="005113E8">
        <w:rPr>
          <w:rFonts w:ascii="Calibri" w:hAnsi="Calibri" w:cs="Calibri"/>
        </w:rPr>
        <w:t xml:space="preserve"> </w:t>
      </w:r>
      <w:r w:rsidR="00EE3D49" w:rsidRPr="008C618A">
        <w:rPr>
          <w:rFonts w:ascii="Calibri" w:hAnsi="Calibri" w:cs="Calibri"/>
        </w:rPr>
        <w:t>This unhelpful statement is indicative of the overly cautious and suspicious approach to R&amp;D collaboration that permeates the review.</w:t>
      </w:r>
      <w:r w:rsidR="005113E8">
        <w:rPr>
          <w:rFonts w:ascii="Calibri" w:hAnsi="Calibri" w:cs="Calibri"/>
        </w:rPr>
        <w:t xml:space="preserve"> </w:t>
      </w:r>
    </w:p>
    <w:p w14:paraId="615C0E5E" w14:textId="77777777" w:rsidR="00037C8F" w:rsidRPr="00C5758B" w:rsidRDefault="00037C8F" w:rsidP="005113E8">
      <w:pPr>
        <w:jc w:val="both"/>
        <w:rPr>
          <w:rFonts w:ascii="Calibri" w:hAnsi="Calibri" w:cs="Calibri"/>
        </w:rPr>
      </w:pPr>
    </w:p>
    <w:p w14:paraId="23A0235D" w14:textId="713CFB43" w:rsidR="00037C8F" w:rsidRPr="008C618A" w:rsidRDefault="00037C8F" w:rsidP="005113E8">
      <w:pPr>
        <w:pStyle w:val="ListParagraph"/>
        <w:numPr>
          <w:ilvl w:val="0"/>
          <w:numId w:val="36"/>
        </w:numPr>
        <w:jc w:val="both"/>
        <w:rPr>
          <w:rFonts w:ascii="Calibri" w:hAnsi="Calibri" w:cs="Calibri"/>
        </w:rPr>
      </w:pPr>
      <w:r w:rsidRPr="008C618A">
        <w:rPr>
          <w:rFonts w:ascii="Calibri" w:hAnsi="Calibri" w:cs="Calibri"/>
        </w:rPr>
        <w:t xml:space="preserve">Article 10 (2)(d) </w:t>
      </w:r>
      <w:r w:rsidR="00EE3D49" w:rsidRPr="008C618A">
        <w:rPr>
          <w:rFonts w:ascii="Calibri" w:hAnsi="Calibri" w:cs="Calibri"/>
        </w:rPr>
        <w:t>foresees</w:t>
      </w:r>
      <w:r w:rsidRPr="008C618A">
        <w:rPr>
          <w:rFonts w:ascii="Calibri" w:hAnsi="Calibri" w:cs="Calibri"/>
        </w:rPr>
        <w:t xml:space="preserve"> withdrawal merely </w:t>
      </w:r>
      <w:proofErr w:type="gramStart"/>
      <w:r w:rsidRPr="008C618A">
        <w:rPr>
          <w:rFonts w:ascii="Calibri" w:hAnsi="Calibri" w:cs="Calibri"/>
        </w:rPr>
        <w:t>on the basis of</w:t>
      </w:r>
      <w:proofErr w:type="gramEnd"/>
      <w:r w:rsidRPr="008C618A">
        <w:rPr>
          <w:rFonts w:ascii="Calibri" w:hAnsi="Calibri" w:cs="Calibri"/>
        </w:rPr>
        <w:t xml:space="preserve"> the contract products/technologies not being subject to effective competition from rival products/technologies.</w:t>
      </w:r>
      <w:r w:rsidR="005113E8">
        <w:rPr>
          <w:rFonts w:ascii="Calibri" w:hAnsi="Calibri" w:cs="Calibri"/>
        </w:rPr>
        <w:t xml:space="preserve"> </w:t>
      </w:r>
      <w:r w:rsidRPr="008C618A">
        <w:rPr>
          <w:rFonts w:ascii="Calibri" w:hAnsi="Calibri" w:cs="Calibri"/>
        </w:rPr>
        <w:t>This is difficult to understand.</w:t>
      </w:r>
      <w:r w:rsidR="005113E8">
        <w:rPr>
          <w:rFonts w:ascii="Calibri" w:hAnsi="Calibri" w:cs="Calibri"/>
        </w:rPr>
        <w:t xml:space="preserve"> </w:t>
      </w:r>
      <w:r w:rsidR="00DE33C0" w:rsidRPr="008C618A">
        <w:rPr>
          <w:rFonts w:ascii="Calibri" w:hAnsi="Calibri" w:cs="Calibri"/>
        </w:rPr>
        <w:t>As already explained, i</w:t>
      </w:r>
      <w:r w:rsidRPr="008C618A">
        <w:rPr>
          <w:rFonts w:ascii="Calibri" w:hAnsi="Calibri" w:cs="Calibri"/>
        </w:rPr>
        <w:t>f joint R&amp;D results in a scientific breakthrough that for a time is unrivalled, what is the threat of block exemption withdrawal likely to achieve except creating ex ante uncertainty?</w:t>
      </w:r>
      <w:r w:rsidR="005113E8">
        <w:rPr>
          <w:rFonts w:ascii="Calibri" w:hAnsi="Calibri" w:cs="Calibri"/>
        </w:rPr>
        <w:t xml:space="preserve"> </w:t>
      </w:r>
    </w:p>
    <w:p w14:paraId="517959E3" w14:textId="77777777" w:rsidR="00832E2E" w:rsidRDefault="00832E2E" w:rsidP="005113E8">
      <w:pPr>
        <w:jc w:val="both"/>
        <w:rPr>
          <w:rFonts w:ascii="Calibri" w:hAnsi="Calibri" w:cs="Calibri"/>
        </w:rPr>
      </w:pPr>
    </w:p>
    <w:p w14:paraId="377A2EA9" w14:textId="77777777" w:rsidR="00675864" w:rsidRPr="00C5758B" w:rsidRDefault="00675864" w:rsidP="005113E8">
      <w:pPr>
        <w:jc w:val="both"/>
        <w:rPr>
          <w:rFonts w:ascii="Calibri" w:hAnsi="Calibri" w:cs="Calibri"/>
        </w:rPr>
      </w:pPr>
    </w:p>
    <w:p w14:paraId="655CD106" w14:textId="77777777" w:rsidR="00832E2E" w:rsidRPr="00C5758B" w:rsidRDefault="0093273B" w:rsidP="005113E8">
      <w:pPr>
        <w:pStyle w:val="Heading1"/>
        <w:jc w:val="both"/>
      </w:pPr>
      <w:r>
        <w:t>5.</w:t>
      </w:r>
      <w:r>
        <w:tab/>
      </w:r>
      <w:r w:rsidR="00832E2E" w:rsidRPr="00C5758B">
        <w:t xml:space="preserve">Bidding Consortia </w:t>
      </w:r>
    </w:p>
    <w:p w14:paraId="34CBC5E5" w14:textId="77777777" w:rsidR="00832E2E" w:rsidRPr="00C5758B" w:rsidRDefault="00832E2E" w:rsidP="005113E8">
      <w:pPr>
        <w:jc w:val="both"/>
        <w:rPr>
          <w:rFonts w:ascii="Calibri" w:hAnsi="Calibri" w:cs="Calibri"/>
        </w:rPr>
      </w:pPr>
    </w:p>
    <w:p w14:paraId="0873BF8E" w14:textId="0D890526" w:rsidR="00832E2E" w:rsidRPr="008C618A" w:rsidRDefault="00832E2E" w:rsidP="005113E8">
      <w:pPr>
        <w:pStyle w:val="ListParagraph"/>
        <w:numPr>
          <w:ilvl w:val="0"/>
          <w:numId w:val="36"/>
        </w:numPr>
        <w:jc w:val="both"/>
        <w:rPr>
          <w:rFonts w:ascii="Calibri" w:hAnsi="Calibri" w:cs="Calibri"/>
        </w:rPr>
      </w:pPr>
      <w:r w:rsidRPr="008C618A">
        <w:rPr>
          <w:rFonts w:ascii="Calibri" w:hAnsi="Calibri" w:cs="Calibri"/>
        </w:rPr>
        <w:t xml:space="preserve">The draft guidelines contain a new chapter on bidding consortia in the form of subcontracting agreements </w:t>
      </w:r>
      <w:proofErr w:type="gramStart"/>
      <w:r w:rsidRPr="008C618A">
        <w:rPr>
          <w:rFonts w:ascii="Calibri" w:hAnsi="Calibri" w:cs="Calibri"/>
        </w:rPr>
        <w:t>entered into</w:t>
      </w:r>
      <w:proofErr w:type="gramEnd"/>
      <w:r w:rsidRPr="008C618A">
        <w:rPr>
          <w:rFonts w:ascii="Calibri" w:hAnsi="Calibri" w:cs="Calibri"/>
        </w:rPr>
        <w:t xml:space="preserve"> by the official bidder, or consortia agreements where all members participate in the tender process, usually through a special purpose legal entity.</w:t>
      </w:r>
      <w:r w:rsidR="005113E8">
        <w:rPr>
          <w:rFonts w:ascii="Calibri" w:hAnsi="Calibri" w:cs="Calibri"/>
        </w:rPr>
        <w:t xml:space="preserve"> </w:t>
      </w:r>
    </w:p>
    <w:p w14:paraId="5B886A80" w14:textId="77777777" w:rsidR="00832E2E" w:rsidRPr="00C5758B" w:rsidRDefault="00832E2E" w:rsidP="005113E8">
      <w:pPr>
        <w:jc w:val="both"/>
        <w:rPr>
          <w:rFonts w:ascii="Calibri" w:hAnsi="Calibri" w:cs="Calibri"/>
        </w:rPr>
      </w:pPr>
    </w:p>
    <w:p w14:paraId="1B6A8805" w14:textId="77777777" w:rsidR="00DE33C0" w:rsidRPr="008C618A" w:rsidRDefault="00832E2E" w:rsidP="005113E8">
      <w:pPr>
        <w:pStyle w:val="ListParagraph"/>
        <w:numPr>
          <w:ilvl w:val="0"/>
          <w:numId w:val="36"/>
        </w:numPr>
        <w:jc w:val="both"/>
        <w:rPr>
          <w:rFonts w:ascii="Calibri" w:hAnsi="Calibri" w:cs="Calibri"/>
        </w:rPr>
      </w:pPr>
      <w:r w:rsidRPr="008C618A">
        <w:rPr>
          <w:rFonts w:ascii="Calibri" w:hAnsi="Calibri" w:cs="Calibri"/>
        </w:rPr>
        <w:t xml:space="preserve">The guidelines mirror the Commission </w:t>
      </w:r>
      <w:r w:rsidR="00D5107D" w:rsidRPr="008C618A">
        <w:rPr>
          <w:rFonts w:ascii="Calibri" w:hAnsi="Calibri" w:cs="Calibri"/>
        </w:rPr>
        <w:t xml:space="preserve">2021 </w:t>
      </w:r>
      <w:hyperlink r:id="rId13" w:history="1">
        <w:r w:rsidRPr="008C618A">
          <w:rPr>
            <w:rStyle w:val="Hyperlink"/>
            <w:rFonts w:ascii="Calibri" w:hAnsi="Calibri" w:cs="Calibri"/>
          </w:rPr>
          <w:t>Notice on tools to fight collusion</w:t>
        </w:r>
      </w:hyperlink>
      <w:r w:rsidR="00DE33C0" w:rsidRPr="008C618A">
        <w:rPr>
          <w:rFonts w:ascii="Calibri" w:hAnsi="Calibri" w:cs="Calibri"/>
        </w:rPr>
        <w:t xml:space="preserve"> which warns that:</w:t>
      </w:r>
    </w:p>
    <w:p w14:paraId="60F0E149" w14:textId="77777777" w:rsidR="00DE33C0" w:rsidRDefault="00DE33C0" w:rsidP="005113E8">
      <w:pPr>
        <w:jc w:val="both"/>
        <w:rPr>
          <w:rFonts w:ascii="Calibri" w:hAnsi="Calibri" w:cs="Calibri"/>
        </w:rPr>
      </w:pPr>
    </w:p>
    <w:p w14:paraId="13FF9393" w14:textId="77777777" w:rsidR="00DE33C0" w:rsidRDefault="00D5107D" w:rsidP="005113E8">
      <w:pPr>
        <w:pStyle w:val="ListParagraph"/>
        <w:numPr>
          <w:ilvl w:val="0"/>
          <w:numId w:val="33"/>
        </w:numPr>
        <w:ind w:left="1080"/>
        <w:jc w:val="both"/>
        <w:rPr>
          <w:rFonts w:ascii="Calibri" w:hAnsi="Calibri" w:cs="Calibri"/>
        </w:rPr>
      </w:pPr>
      <w:r w:rsidRPr="00DE33C0">
        <w:rPr>
          <w:rFonts w:ascii="Calibri" w:hAnsi="Calibri" w:cs="Calibri"/>
        </w:rPr>
        <w:t>where two tenderers cross-subcontract to each other, this may be a potential indi</w:t>
      </w:r>
      <w:r w:rsidR="00DE33C0" w:rsidRPr="00DE33C0">
        <w:rPr>
          <w:rFonts w:ascii="Calibri" w:hAnsi="Calibri" w:cs="Calibri"/>
        </w:rPr>
        <w:t>c</w:t>
      </w:r>
      <w:r w:rsidRPr="00DE33C0">
        <w:rPr>
          <w:rFonts w:ascii="Calibri" w:hAnsi="Calibri" w:cs="Calibri"/>
        </w:rPr>
        <w:t xml:space="preserve">ation of collusion since they will know each other's financial offer, but </w:t>
      </w:r>
    </w:p>
    <w:p w14:paraId="4ECD3103" w14:textId="77777777" w:rsidR="00DE33C0" w:rsidRPr="00DE33C0" w:rsidRDefault="00DE33C0" w:rsidP="005113E8">
      <w:pPr>
        <w:ind w:left="360"/>
        <w:jc w:val="both"/>
        <w:rPr>
          <w:rFonts w:ascii="Calibri" w:hAnsi="Calibri" w:cs="Calibri"/>
        </w:rPr>
      </w:pPr>
    </w:p>
    <w:p w14:paraId="30DE2C4A" w14:textId="77777777" w:rsidR="00F557B7" w:rsidRDefault="00D5107D" w:rsidP="005113E8">
      <w:pPr>
        <w:pStyle w:val="ListParagraph"/>
        <w:numPr>
          <w:ilvl w:val="0"/>
          <w:numId w:val="33"/>
        </w:numPr>
        <w:ind w:left="1080"/>
        <w:jc w:val="both"/>
        <w:rPr>
          <w:rFonts w:ascii="Calibri" w:hAnsi="Calibri" w:cs="Calibri"/>
        </w:rPr>
        <w:sectPr w:rsidR="00F557B7" w:rsidSect="00B12287">
          <w:footerReference w:type="default" r:id="rId14"/>
          <w:pgSz w:w="11906" w:h="16838"/>
          <w:pgMar w:top="2160" w:right="1440" w:bottom="2160" w:left="1440" w:header="708" w:footer="708" w:gutter="0"/>
          <w:cols w:space="708"/>
          <w:docGrid w:linePitch="360"/>
        </w:sectPr>
      </w:pPr>
      <w:r w:rsidRPr="00DE33C0">
        <w:rPr>
          <w:rFonts w:ascii="Calibri" w:hAnsi="Calibri" w:cs="Calibri"/>
        </w:rPr>
        <w:t xml:space="preserve">where just one tenderer subcontracts to another tenderer, there is no general presumption of </w:t>
      </w:r>
      <w:proofErr w:type="gramStart"/>
      <w:r w:rsidRPr="00DE33C0">
        <w:rPr>
          <w:rFonts w:ascii="Calibri" w:hAnsi="Calibri" w:cs="Calibri"/>
        </w:rPr>
        <w:t>collusion</w:t>
      </w:r>
      <w:proofErr w:type="gramEnd"/>
      <w:r w:rsidRPr="00DE33C0">
        <w:rPr>
          <w:rFonts w:ascii="Calibri" w:hAnsi="Calibri" w:cs="Calibri"/>
        </w:rPr>
        <w:t xml:space="preserve"> and it is for the parties to demonstrate the opposite. </w:t>
      </w:r>
    </w:p>
    <w:p w14:paraId="5655D172" w14:textId="77777777" w:rsidR="00DE33C0" w:rsidRPr="008C618A" w:rsidRDefault="00D5107D" w:rsidP="005113E8">
      <w:pPr>
        <w:pStyle w:val="ListParagraph"/>
        <w:numPr>
          <w:ilvl w:val="0"/>
          <w:numId w:val="36"/>
        </w:numPr>
        <w:jc w:val="both"/>
        <w:rPr>
          <w:rFonts w:ascii="Calibri" w:hAnsi="Calibri" w:cs="Calibri"/>
        </w:rPr>
      </w:pPr>
      <w:r w:rsidRPr="008C618A">
        <w:rPr>
          <w:rFonts w:ascii="Calibri" w:hAnsi="Calibri" w:cs="Calibri"/>
        </w:rPr>
        <w:lastRenderedPageBreak/>
        <w:t xml:space="preserve">The proposed horizontal guidelines </w:t>
      </w:r>
      <w:r w:rsidR="00DE33C0" w:rsidRPr="008C618A">
        <w:rPr>
          <w:rFonts w:ascii="Calibri" w:hAnsi="Calibri" w:cs="Calibri"/>
        </w:rPr>
        <w:t>provide additional colour</w:t>
      </w:r>
      <w:r w:rsidR="00F40EF0">
        <w:rPr>
          <w:rFonts w:ascii="Calibri" w:hAnsi="Calibri" w:cs="Calibri"/>
        </w:rPr>
        <w:t xml:space="preserve"> summarised below.</w:t>
      </w:r>
    </w:p>
    <w:p w14:paraId="3550F5F4" w14:textId="77777777" w:rsidR="00DE33C0" w:rsidRPr="008E1C47" w:rsidRDefault="00DE33C0" w:rsidP="005113E8">
      <w:pPr>
        <w:jc w:val="both"/>
        <w:rPr>
          <w:rFonts w:ascii="Calibri" w:hAnsi="Calibri" w:cs="Calibri"/>
          <w:szCs w:val="22"/>
        </w:rPr>
      </w:pPr>
    </w:p>
    <w:p w14:paraId="7DF86EEC" w14:textId="3A01785F" w:rsidR="002700A1" w:rsidRPr="00FA1F70" w:rsidRDefault="00D5107D" w:rsidP="005113E8">
      <w:pPr>
        <w:pStyle w:val="ListParagraph"/>
        <w:numPr>
          <w:ilvl w:val="0"/>
          <w:numId w:val="34"/>
        </w:numPr>
        <w:shd w:val="clear" w:color="auto" w:fill="F2F2F3" w:themeFill="background2" w:themeFillTint="33"/>
        <w:jc w:val="both"/>
        <w:rPr>
          <w:rFonts w:ascii="Calibri" w:hAnsi="Calibri" w:cs="Calibri"/>
          <w:szCs w:val="22"/>
        </w:rPr>
      </w:pPr>
      <w:r w:rsidRPr="00FA1F70">
        <w:rPr>
          <w:rFonts w:ascii="Calibri" w:hAnsi="Calibri" w:cs="Calibri"/>
          <w:szCs w:val="22"/>
        </w:rPr>
        <w:t>§ 389 and 390 introduc</w:t>
      </w:r>
      <w:r w:rsidR="00DE33C0" w:rsidRPr="00FA1F70">
        <w:rPr>
          <w:rFonts w:ascii="Calibri" w:hAnsi="Calibri" w:cs="Calibri"/>
          <w:szCs w:val="22"/>
        </w:rPr>
        <w:t>e</w:t>
      </w:r>
      <w:r w:rsidRPr="00FA1F70">
        <w:rPr>
          <w:rFonts w:ascii="Calibri" w:hAnsi="Calibri" w:cs="Calibri"/>
          <w:szCs w:val="22"/>
        </w:rPr>
        <w:t xml:space="preserve"> the notion of "centre of gravity" meaning that different standards apply depending on whether joint production is involved (in which case price-fixing will not be viewed as a restriction by object but an effects analysis is required)</w:t>
      </w:r>
      <w:r w:rsidR="00DE33C0" w:rsidRPr="00FA1F70">
        <w:rPr>
          <w:rFonts w:ascii="Calibri" w:hAnsi="Calibri" w:cs="Calibri"/>
          <w:szCs w:val="22"/>
        </w:rPr>
        <w:t>,</w:t>
      </w:r>
      <w:r w:rsidRPr="00FA1F70">
        <w:rPr>
          <w:rFonts w:ascii="Calibri" w:hAnsi="Calibri" w:cs="Calibri"/>
          <w:szCs w:val="22"/>
        </w:rPr>
        <w:t xml:space="preserve"> whereas joint commercialisatio</w:t>
      </w:r>
      <w:r w:rsidR="002700A1" w:rsidRPr="00FA1F70">
        <w:rPr>
          <w:rFonts w:ascii="Calibri" w:hAnsi="Calibri" w:cs="Calibri"/>
          <w:szCs w:val="22"/>
        </w:rPr>
        <w:t xml:space="preserve">n agreements are looked at less favourably and price-fixing </w:t>
      </w:r>
      <w:r w:rsidR="00DE33C0" w:rsidRPr="00FA1F70">
        <w:rPr>
          <w:rFonts w:ascii="Calibri" w:hAnsi="Calibri" w:cs="Calibri"/>
          <w:szCs w:val="22"/>
        </w:rPr>
        <w:t>will be viewed as</w:t>
      </w:r>
      <w:r w:rsidR="002700A1" w:rsidRPr="00FA1F70">
        <w:rPr>
          <w:rFonts w:ascii="Calibri" w:hAnsi="Calibri" w:cs="Calibri"/>
          <w:szCs w:val="22"/>
        </w:rPr>
        <w:t xml:space="preserve"> a </w:t>
      </w:r>
      <w:r w:rsidR="00DE33C0" w:rsidRPr="00FA1F70">
        <w:rPr>
          <w:rFonts w:ascii="Calibri" w:hAnsi="Calibri" w:cs="Calibri"/>
          <w:szCs w:val="22"/>
        </w:rPr>
        <w:t>"</w:t>
      </w:r>
      <w:r w:rsidR="002700A1" w:rsidRPr="00FA1F70">
        <w:rPr>
          <w:rFonts w:ascii="Calibri" w:hAnsi="Calibri" w:cs="Calibri"/>
          <w:szCs w:val="22"/>
        </w:rPr>
        <w:t>by object</w:t>
      </w:r>
      <w:r w:rsidR="00DE33C0" w:rsidRPr="00FA1F70">
        <w:rPr>
          <w:rFonts w:ascii="Calibri" w:hAnsi="Calibri" w:cs="Calibri"/>
          <w:szCs w:val="22"/>
        </w:rPr>
        <w:t>"</w:t>
      </w:r>
      <w:r w:rsidR="002700A1" w:rsidRPr="00FA1F70">
        <w:rPr>
          <w:rFonts w:ascii="Calibri" w:hAnsi="Calibri" w:cs="Calibri"/>
          <w:szCs w:val="22"/>
        </w:rPr>
        <w:t xml:space="preserve"> restriction regardless of the parties' market power.</w:t>
      </w:r>
      <w:r w:rsidR="005113E8">
        <w:rPr>
          <w:rFonts w:ascii="Calibri" w:hAnsi="Calibri" w:cs="Calibri"/>
          <w:szCs w:val="22"/>
        </w:rPr>
        <w:t xml:space="preserve"> </w:t>
      </w:r>
    </w:p>
    <w:p w14:paraId="3EC45968" w14:textId="358376A2" w:rsidR="001E59F7" w:rsidRPr="008E1C47" w:rsidRDefault="002700A1" w:rsidP="005113E8">
      <w:pPr>
        <w:pStyle w:val="ListParagraph"/>
        <w:numPr>
          <w:ilvl w:val="0"/>
          <w:numId w:val="34"/>
        </w:numPr>
        <w:shd w:val="clear" w:color="auto" w:fill="F2F2F3" w:themeFill="background2" w:themeFillTint="33"/>
        <w:jc w:val="both"/>
        <w:rPr>
          <w:rFonts w:ascii="Calibri" w:hAnsi="Calibri" w:cs="Calibri"/>
          <w:szCs w:val="22"/>
        </w:rPr>
      </w:pPr>
      <w:r w:rsidRPr="008E1C47">
        <w:rPr>
          <w:rFonts w:ascii="Calibri" w:hAnsi="Calibri" w:cs="Calibri"/>
          <w:szCs w:val="22"/>
        </w:rPr>
        <w:t>§391 states that regardless of the legal qualification of the consortium, it will not restrict competition if it allows the members to participate in projects they could not do alone - either because their products/services are complementary or because neither has the scale to effectively bid individually.</w:t>
      </w:r>
      <w:r w:rsidR="005113E8">
        <w:rPr>
          <w:rFonts w:ascii="Calibri" w:hAnsi="Calibri" w:cs="Calibri"/>
          <w:szCs w:val="22"/>
        </w:rPr>
        <w:t xml:space="preserve"> </w:t>
      </w:r>
      <w:r w:rsidRPr="008E1C47">
        <w:rPr>
          <w:rFonts w:ascii="Calibri" w:hAnsi="Calibri" w:cs="Calibri"/>
          <w:szCs w:val="22"/>
        </w:rPr>
        <w:t>This is to be based on a "realistic" assessment in the context of the specific tender in question (§392).</w:t>
      </w:r>
      <w:r w:rsidR="005113E8">
        <w:rPr>
          <w:rFonts w:ascii="Calibri" w:hAnsi="Calibri" w:cs="Calibri"/>
          <w:szCs w:val="22"/>
        </w:rPr>
        <w:t xml:space="preserve"> </w:t>
      </w:r>
      <w:r w:rsidRPr="008E1C47">
        <w:rPr>
          <w:rFonts w:ascii="Calibri" w:hAnsi="Calibri" w:cs="Calibri"/>
          <w:szCs w:val="22"/>
        </w:rPr>
        <w:t xml:space="preserve">Where </w:t>
      </w:r>
      <w:proofErr w:type="gramStart"/>
      <w:r w:rsidRPr="008E1C47">
        <w:rPr>
          <w:rFonts w:ascii="Calibri" w:hAnsi="Calibri" w:cs="Calibri"/>
          <w:szCs w:val="22"/>
        </w:rPr>
        <w:t>it is clear that the</w:t>
      </w:r>
      <w:proofErr w:type="gramEnd"/>
      <w:r w:rsidRPr="008E1C47">
        <w:rPr>
          <w:rFonts w:ascii="Calibri" w:hAnsi="Calibri" w:cs="Calibri"/>
          <w:szCs w:val="22"/>
        </w:rPr>
        <w:t xml:space="preserve"> parties are not competitors, their joint bid falls outside of Article 101.</w:t>
      </w:r>
      <w:r w:rsidR="005113E8">
        <w:rPr>
          <w:rFonts w:ascii="Calibri" w:hAnsi="Calibri" w:cs="Calibri"/>
          <w:szCs w:val="22"/>
        </w:rPr>
        <w:t xml:space="preserve"> </w:t>
      </w:r>
    </w:p>
    <w:p w14:paraId="0DA6C66C" w14:textId="171E3973" w:rsidR="00FA1F70" w:rsidRDefault="001E59F7" w:rsidP="005113E8">
      <w:pPr>
        <w:pStyle w:val="ListParagraph"/>
        <w:numPr>
          <w:ilvl w:val="0"/>
          <w:numId w:val="34"/>
        </w:numPr>
        <w:shd w:val="clear" w:color="auto" w:fill="F2F2F3" w:themeFill="background2" w:themeFillTint="33"/>
        <w:jc w:val="both"/>
        <w:rPr>
          <w:rFonts w:ascii="Calibri" w:hAnsi="Calibri" w:cs="Calibri"/>
          <w:szCs w:val="22"/>
        </w:rPr>
      </w:pPr>
      <w:r w:rsidRPr="008E1C47">
        <w:rPr>
          <w:rFonts w:ascii="Calibri" w:hAnsi="Calibri" w:cs="Calibri"/>
          <w:szCs w:val="22"/>
        </w:rPr>
        <w:t xml:space="preserve">Article 101 does apply where the parties </w:t>
      </w:r>
      <w:proofErr w:type="gramStart"/>
      <w:r w:rsidRPr="008E1C47">
        <w:rPr>
          <w:rFonts w:ascii="Calibri" w:hAnsi="Calibri" w:cs="Calibri"/>
          <w:szCs w:val="22"/>
        </w:rPr>
        <w:t>have the ability to</w:t>
      </w:r>
      <w:proofErr w:type="gramEnd"/>
      <w:r w:rsidRPr="008E1C47">
        <w:rPr>
          <w:rFonts w:ascii="Calibri" w:hAnsi="Calibri" w:cs="Calibri"/>
          <w:szCs w:val="22"/>
        </w:rPr>
        <w:t xml:space="preserve"> submit bids on parts of the contract where that is divided in lots because they will be assumed to be competitors even if each cannot compete for the whole tender.</w:t>
      </w:r>
      <w:r w:rsidR="005113E8">
        <w:rPr>
          <w:rFonts w:ascii="Calibri" w:hAnsi="Calibri" w:cs="Calibri"/>
          <w:szCs w:val="22"/>
        </w:rPr>
        <w:t xml:space="preserve"> </w:t>
      </w:r>
      <w:r w:rsidRPr="008E1C47">
        <w:rPr>
          <w:rFonts w:ascii="Calibri" w:hAnsi="Calibri" w:cs="Calibri"/>
          <w:szCs w:val="22"/>
        </w:rPr>
        <w:t>In these circumstances, an effects analysis of the efficiencies of a joint bid is to be made under Article 101(3). §393</w:t>
      </w:r>
    </w:p>
    <w:p w14:paraId="5216D654" w14:textId="77777777" w:rsidR="001E59F7" w:rsidRPr="008E1C47" w:rsidRDefault="001E59F7" w:rsidP="005113E8">
      <w:pPr>
        <w:pStyle w:val="ListParagraph"/>
        <w:numPr>
          <w:ilvl w:val="0"/>
          <w:numId w:val="34"/>
        </w:numPr>
        <w:shd w:val="clear" w:color="auto" w:fill="F2F2F3" w:themeFill="background2" w:themeFillTint="33"/>
        <w:jc w:val="both"/>
        <w:rPr>
          <w:rFonts w:ascii="Calibri" w:hAnsi="Calibri" w:cs="Calibri"/>
          <w:szCs w:val="22"/>
        </w:rPr>
      </w:pPr>
      <w:r w:rsidRPr="008E1C47">
        <w:rPr>
          <w:rFonts w:ascii="Calibri" w:hAnsi="Calibri" w:cs="Calibri"/>
          <w:szCs w:val="22"/>
        </w:rPr>
        <w:t>Where it is not possible to exclude that the parties could have competed individually, or if there are more parties to an agreement than necessary, the guidelines stipulate that the joint bid might be restrictive by object or by effect depending on the content of the agreement and its context. §394</w:t>
      </w:r>
    </w:p>
    <w:p w14:paraId="51293E17" w14:textId="77777777" w:rsidR="001E59F7" w:rsidRPr="006009AF" w:rsidRDefault="00DE33C0" w:rsidP="005113E8">
      <w:pPr>
        <w:pStyle w:val="ListParagraph"/>
        <w:numPr>
          <w:ilvl w:val="0"/>
          <w:numId w:val="34"/>
        </w:numPr>
        <w:shd w:val="clear" w:color="auto" w:fill="F2F2F3" w:themeFill="background2" w:themeFillTint="33"/>
        <w:jc w:val="both"/>
        <w:rPr>
          <w:rFonts w:ascii="Calibri" w:hAnsi="Calibri" w:cs="Calibri"/>
          <w:szCs w:val="22"/>
        </w:rPr>
      </w:pPr>
      <w:r w:rsidRPr="006009AF">
        <w:rPr>
          <w:rFonts w:ascii="Calibri" w:hAnsi="Calibri" w:cs="Calibri"/>
          <w:szCs w:val="22"/>
        </w:rPr>
        <w:t>I</w:t>
      </w:r>
      <w:r w:rsidR="001E59F7" w:rsidRPr="006009AF">
        <w:rPr>
          <w:rFonts w:ascii="Calibri" w:hAnsi="Calibri" w:cs="Calibri"/>
          <w:szCs w:val="22"/>
        </w:rPr>
        <w:t>n any event, joint bidding by competitors can fulfil the criteria of Article 101(3) based on a concrete assessment of their position in the market, the competitive context, the nature of the effici</w:t>
      </w:r>
      <w:r w:rsidR="0053478B" w:rsidRPr="006009AF">
        <w:rPr>
          <w:rFonts w:ascii="Calibri" w:hAnsi="Calibri" w:cs="Calibri"/>
          <w:szCs w:val="22"/>
        </w:rPr>
        <w:t>e</w:t>
      </w:r>
      <w:r w:rsidR="001E59F7" w:rsidRPr="006009AF">
        <w:rPr>
          <w:rFonts w:ascii="Calibri" w:hAnsi="Calibri" w:cs="Calibri"/>
          <w:szCs w:val="22"/>
        </w:rPr>
        <w:t>nc</w:t>
      </w:r>
      <w:r w:rsidR="0053478B" w:rsidRPr="006009AF">
        <w:rPr>
          <w:rFonts w:ascii="Calibri" w:hAnsi="Calibri" w:cs="Calibri"/>
          <w:szCs w:val="22"/>
        </w:rPr>
        <w:t>i</w:t>
      </w:r>
      <w:r w:rsidR="001E59F7" w:rsidRPr="006009AF">
        <w:rPr>
          <w:rFonts w:ascii="Calibri" w:hAnsi="Calibri" w:cs="Calibri"/>
          <w:szCs w:val="22"/>
        </w:rPr>
        <w:t xml:space="preserve">es, and assuming that their collaboration enables them to submit an offer that is more competitive than the offers they could have submitted alone in terms of price/quality, </w:t>
      </w:r>
      <w:r w:rsidRPr="006009AF">
        <w:rPr>
          <w:rFonts w:ascii="Calibri" w:hAnsi="Calibri" w:cs="Calibri"/>
          <w:szCs w:val="22"/>
        </w:rPr>
        <w:t>and that</w:t>
      </w:r>
      <w:r w:rsidR="001E59F7" w:rsidRPr="006009AF">
        <w:rPr>
          <w:rFonts w:ascii="Calibri" w:hAnsi="Calibri" w:cs="Calibri"/>
          <w:szCs w:val="22"/>
        </w:rPr>
        <w:t xml:space="preserve"> efficiencies are at least partially passed on to consumers. § 397</w:t>
      </w:r>
    </w:p>
    <w:p w14:paraId="363FCF93" w14:textId="77777777" w:rsidR="001E59F7" w:rsidRPr="00C5758B" w:rsidRDefault="001E59F7" w:rsidP="005113E8">
      <w:pPr>
        <w:jc w:val="both"/>
        <w:rPr>
          <w:rFonts w:ascii="Calibri" w:hAnsi="Calibri" w:cs="Calibri"/>
        </w:rPr>
      </w:pPr>
    </w:p>
    <w:p w14:paraId="490AFE5D" w14:textId="77777777" w:rsidR="001E59F7" w:rsidRPr="008C618A" w:rsidRDefault="001E59F7" w:rsidP="005113E8">
      <w:pPr>
        <w:pStyle w:val="ListParagraph"/>
        <w:numPr>
          <w:ilvl w:val="0"/>
          <w:numId w:val="36"/>
        </w:numPr>
        <w:jc w:val="both"/>
        <w:rPr>
          <w:rFonts w:ascii="Calibri" w:hAnsi="Calibri" w:cs="Calibri"/>
        </w:rPr>
      </w:pPr>
      <w:r w:rsidRPr="008C618A">
        <w:rPr>
          <w:rFonts w:ascii="Calibri" w:hAnsi="Calibri" w:cs="Calibri"/>
        </w:rPr>
        <w:t xml:space="preserve">EFPIA </w:t>
      </w:r>
      <w:r w:rsidR="00DE33C0" w:rsidRPr="008C618A">
        <w:rPr>
          <w:rFonts w:ascii="Calibri" w:hAnsi="Calibri" w:cs="Calibri"/>
        </w:rPr>
        <w:t>urges the Commission to adopt</w:t>
      </w:r>
      <w:r w:rsidRPr="008C618A">
        <w:rPr>
          <w:rFonts w:ascii="Calibri" w:hAnsi="Calibri" w:cs="Calibri"/>
        </w:rPr>
        <w:t xml:space="preserve"> a more straightforward approach, recognising:</w:t>
      </w:r>
    </w:p>
    <w:p w14:paraId="45CD05F5" w14:textId="77777777" w:rsidR="001E59F7" w:rsidRPr="00C5758B" w:rsidRDefault="001E59F7" w:rsidP="005113E8">
      <w:pPr>
        <w:jc w:val="both"/>
        <w:rPr>
          <w:rFonts w:ascii="Calibri" w:hAnsi="Calibri" w:cs="Calibri"/>
        </w:rPr>
      </w:pPr>
    </w:p>
    <w:p w14:paraId="656A6F7A" w14:textId="77777777" w:rsidR="006009AF" w:rsidRDefault="001B10AC" w:rsidP="005113E8">
      <w:pPr>
        <w:pStyle w:val="ListParagraph"/>
        <w:numPr>
          <w:ilvl w:val="0"/>
          <w:numId w:val="43"/>
        </w:numPr>
        <w:ind w:left="1080"/>
        <w:jc w:val="both"/>
        <w:rPr>
          <w:rFonts w:ascii="Calibri" w:hAnsi="Calibri" w:cs="Calibri"/>
        </w:rPr>
      </w:pPr>
      <w:r w:rsidRPr="00B12287">
        <w:rPr>
          <w:rFonts w:ascii="Calibri" w:hAnsi="Calibri" w:cs="Calibri"/>
        </w:rPr>
        <w:t>that a consor</w:t>
      </w:r>
      <w:r w:rsidR="0053478B" w:rsidRPr="00B12287">
        <w:rPr>
          <w:rFonts w:ascii="Calibri" w:hAnsi="Calibri" w:cs="Calibri"/>
        </w:rPr>
        <w:t>t</w:t>
      </w:r>
      <w:r w:rsidRPr="00B12287">
        <w:rPr>
          <w:rFonts w:ascii="Calibri" w:hAnsi="Calibri" w:cs="Calibri"/>
        </w:rPr>
        <w:t xml:space="preserve">ium will only be viewed as a by object restriction if it is a disguised cartel </w:t>
      </w:r>
      <w:r w:rsidR="00BD5008" w:rsidRPr="00B12287">
        <w:rPr>
          <w:rFonts w:ascii="Calibri" w:hAnsi="Calibri" w:cs="Calibri"/>
        </w:rPr>
        <w:t xml:space="preserve">between competitors </w:t>
      </w:r>
      <w:r w:rsidRPr="00B12287">
        <w:rPr>
          <w:rFonts w:ascii="Calibri" w:hAnsi="Calibri" w:cs="Calibri"/>
        </w:rPr>
        <w:t xml:space="preserve">(substantially eliminating competition for the tender in question) with </w:t>
      </w:r>
      <w:r w:rsidR="006009AF">
        <w:rPr>
          <w:rFonts w:ascii="Calibri" w:hAnsi="Calibri" w:cs="Calibri"/>
        </w:rPr>
        <w:t>few</w:t>
      </w:r>
      <w:r w:rsidRPr="00B12287">
        <w:rPr>
          <w:rFonts w:ascii="Calibri" w:hAnsi="Calibri" w:cs="Calibri"/>
        </w:rPr>
        <w:t xml:space="preserve"> if any consorti</w:t>
      </w:r>
      <w:r w:rsidR="00BD5008" w:rsidRPr="00B12287">
        <w:rPr>
          <w:rFonts w:ascii="Calibri" w:hAnsi="Calibri" w:cs="Calibri"/>
        </w:rPr>
        <w:t>um</w:t>
      </w:r>
      <w:r w:rsidRPr="00B12287">
        <w:rPr>
          <w:rFonts w:ascii="Calibri" w:hAnsi="Calibri" w:cs="Calibri"/>
        </w:rPr>
        <w:t>-specific efficiencies</w:t>
      </w:r>
      <w:r w:rsidR="006009AF">
        <w:rPr>
          <w:rFonts w:ascii="Calibri" w:hAnsi="Calibri" w:cs="Calibri"/>
        </w:rPr>
        <w:t>,</w:t>
      </w:r>
      <w:r w:rsidRPr="00B12287">
        <w:rPr>
          <w:rFonts w:ascii="Calibri" w:hAnsi="Calibri" w:cs="Calibri"/>
        </w:rPr>
        <w:t xml:space="preserve"> or if the consortium is a vehicl</w:t>
      </w:r>
      <w:r w:rsidR="00BD5008" w:rsidRPr="00B12287">
        <w:rPr>
          <w:rFonts w:ascii="Calibri" w:hAnsi="Calibri" w:cs="Calibri"/>
        </w:rPr>
        <w:t>e</w:t>
      </w:r>
      <w:r w:rsidRPr="00B12287">
        <w:rPr>
          <w:rFonts w:ascii="Calibri" w:hAnsi="Calibri" w:cs="Calibri"/>
        </w:rPr>
        <w:t xml:space="preserve"> to fa</w:t>
      </w:r>
      <w:r w:rsidR="00BD5008" w:rsidRPr="00B12287">
        <w:rPr>
          <w:rFonts w:ascii="Calibri" w:hAnsi="Calibri" w:cs="Calibri"/>
        </w:rPr>
        <w:t>cilitate anti-competitive collu</w:t>
      </w:r>
      <w:r w:rsidRPr="00B12287">
        <w:rPr>
          <w:rFonts w:ascii="Calibri" w:hAnsi="Calibri" w:cs="Calibri"/>
        </w:rPr>
        <w:t>sion between members in relation to other contracts or other markets</w:t>
      </w:r>
      <w:r w:rsidR="002E0603" w:rsidRPr="00B12287">
        <w:rPr>
          <w:rFonts w:ascii="Calibri" w:hAnsi="Calibri" w:cs="Calibri"/>
        </w:rPr>
        <w:t>, an</w:t>
      </w:r>
      <w:r w:rsidR="006009AF">
        <w:rPr>
          <w:rFonts w:ascii="Calibri" w:hAnsi="Calibri" w:cs="Calibri"/>
        </w:rPr>
        <w:t>d</w:t>
      </w:r>
    </w:p>
    <w:p w14:paraId="3F43959B" w14:textId="77777777" w:rsidR="006009AF" w:rsidRPr="006009AF" w:rsidRDefault="006009AF" w:rsidP="005113E8">
      <w:pPr>
        <w:ind w:left="720"/>
        <w:jc w:val="both"/>
        <w:rPr>
          <w:rFonts w:ascii="Calibri" w:hAnsi="Calibri" w:cs="Calibri"/>
        </w:rPr>
      </w:pPr>
    </w:p>
    <w:p w14:paraId="1ECF1F92" w14:textId="1A46652E" w:rsidR="001B10AC" w:rsidRPr="00B12287" w:rsidRDefault="001B10AC" w:rsidP="005113E8">
      <w:pPr>
        <w:pStyle w:val="ListParagraph"/>
        <w:numPr>
          <w:ilvl w:val="0"/>
          <w:numId w:val="43"/>
        </w:numPr>
        <w:ind w:left="1080"/>
        <w:jc w:val="both"/>
        <w:rPr>
          <w:rFonts w:ascii="Calibri" w:hAnsi="Calibri" w:cs="Calibri"/>
        </w:rPr>
      </w:pPr>
      <w:r w:rsidRPr="00B12287">
        <w:rPr>
          <w:rFonts w:ascii="Calibri" w:hAnsi="Calibri" w:cs="Calibri"/>
        </w:rPr>
        <w:t xml:space="preserve">where an </w:t>
      </w:r>
      <w:proofErr w:type="gramStart"/>
      <w:r w:rsidRPr="00B12287">
        <w:rPr>
          <w:rFonts w:ascii="Calibri" w:hAnsi="Calibri" w:cs="Calibri"/>
        </w:rPr>
        <w:t>Article</w:t>
      </w:r>
      <w:proofErr w:type="gramEnd"/>
      <w:r w:rsidRPr="00B12287">
        <w:rPr>
          <w:rFonts w:ascii="Calibri" w:hAnsi="Calibri" w:cs="Calibri"/>
        </w:rPr>
        <w:t xml:space="preserve"> 101(3) </w:t>
      </w:r>
      <w:r w:rsidR="006009AF">
        <w:rPr>
          <w:rFonts w:ascii="Calibri" w:hAnsi="Calibri" w:cs="Calibri"/>
        </w:rPr>
        <w:t xml:space="preserve">effects </w:t>
      </w:r>
      <w:r w:rsidRPr="00B12287">
        <w:rPr>
          <w:rFonts w:ascii="Calibri" w:hAnsi="Calibri" w:cs="Calibri"/>
        </w:rPr>
        <w:t xml:space="preserve">analysis is required, the distinction between whether the </w:t>
      </w:r>
      <w:r w:rsidR="00BD5008" w:rsidRPr="00B12287">
        <w:rPr>
          <w:rFonts w:ascii="Calibri" w:hAnsi="Calibri" w:cs="Calibri"/>
        </w:rPr>
        <w:t>"</w:t>
      </w:r>
      <w:r w:rsidRPr="00B12287">
        <w:rPr>
          <w:rFonts w:ascii="Calibri" w:hAnsi="Calibri" w:cs="Calibri"/>
        </w:rPr>
        <w:t>centre of gravity</w:t>
      </w:r>
      <w:r w:rsidR="00BD5008" w:rsidRPr="00B12287">
        <w:rPr>
          <w:rFonts w:ascii="Calibri" w:hAnsi="Calibri" w:cs="Calibri"/>
        </w:rPr>
        <w:t>"</w:t>
      </w:r>
      <w:r w:rsidRPr="00B12287">
        <w:rPr>
          <w:rFonts w:ascii="Calibri" w:hAnsi="Calibri" w:cs="Calibri"/>
        </w:rPr>
        <w:t xml:space="preserve"> is production or commercialisation should be abandoned</w:t>
      </w:r>
      <w:r w:rsidR="006009AF">
        <w:rPr>
          <w:rFonts w:ascii="Calibri" w:hAnsi="Calibri" w:cs="Calibri"/>
        </w:rPr>
        <w:t>.</w:t>
      </w:r>
      <w:r w:rsidR="005113E8">
        <w:rPr>
          <w:rFonts w:ascii="Calibri" w:hAnsi="Calibri" w:cs="Calibri"/>
        </w:rPr>
        <w:t xml:space="preserve"> </w:t>
      </w:r>
      <w:r w:rsidRPr="00B12287">
        <w:rPr>
          <w:rFonts w:ascii="Calibri" w:hAnsi="Calibri" w:cs="Calibri"/>
        </w:rPr>
        <w:t>The one example of joint bidding included at §405 makes no reference to the relevance of this distinction.</w:t>
      </w:r>
      <w:r w:rsidR="005113E8">
        <w:rPr>
          <w:rFonts w:ascii="Calibri" w:hAnsi="Calibri" w:cs="Calibri"/>
        </w:rPr>
        <w:t xml:space="preserve"> </w:t>
      </w:r>
      <w:r w:rsidRPr="00B12287">
        <w:rPr>
          <w:rFonts w:ascii="Calibri" w:hAnsi="Calibri" w:cs="Calibri"/>
        </w:rPr>
        <w:t>It only adds unnecessary complexity.</w:t>
      </w:r>
      <w:r w:rsidR="005113E8">
        <w:rPr>
          <w:rFonts w:ascii="Calibri" w:hAnsi="Calibri" w:cs="Calibri"/>
        </w:rPr>
        <w:t xml:space="preserve"> </w:t>
      </w:r>
    </w:p>
    <w:p w14:paraId="0AFAE9BA" w14:textId="77777777" w:rsidR="00BD5008" w:rsidRPr="00BD5008" w:rsidRDefault="00BD5008" w:rsidP="005113E8">
      <w:pPr>
        <w:jc w:val="both"/>
        <w:rPr>
          <w:rFonts w:ascii="Calibri" w:hAnsi="Calibri" w:cs="Calibri"/>
        </w:rPr>
      </w:pPr>
    </w:p>
    <w:p w14:paraId="56E53533" w14:textId="2626C6C6" w:rsidR="00D5107D" w:rsidRPr="008C618A" w:rsidRDefault="001B10AC" w:rsidP="005113E8">
      <w:pPr>
        <w:pStyle w:val="ListParagraph"/>
        <w:numPr>
          <w:ilvl w:val="0"/>
          <w:numId w:val="36"/>
        </w:numPr>
        <w:jc w:val="both"/>
        <w:rPr>
          <w:rFonts w:ascii="Calibri" w:hAnsi="Calibri" w:cs="Calibri"/>
        </w:rPr>
      </w:pPr>
      <w:r w:rsidRPr="008C618A">
        <w:rPr>
          <w:rFonts w:ascii="Calibri" w:hAnsi="Calibri" w:cs="Calibri"/>
        </w:rPr>
        <w:t xml:space="preserve">EFPIA commends the clarity of the </w:t>
      </w:r>
      <w:hyperlink r:id="rId15" w:history="1">
        <w:r w:rsidRPr="00B036A6">
          <w:rPr>
            <w:rStyle w:val="Hyperlink"/>
            <w:rFonts w:ascii="Calibri" w:hAnsi="Calibri" w:cs="Calibri"/>
          </w:rPr>
          <w:t>practical guidance</w:t>
        </w:r>
      </w:hyperlink>
      <w:r w:rsidRPr="008C618A">
        <w:rPr>
          <w:rFonts w:ascii="Calibri" w:hAnsi="Calibri" w:cs="Calibri"/>
        </w:rPr>
        <w:t xml:space="preserve"> that the Irish Competition Commission issued to assist SMEs in bidding consortia back in 2014.</w:t>
      </w:r>
      <w:r w:rsidR="005113E8">
        <w:rPr>
          <w:rFonts w:ascii="Calibri" w:hAnsi="Calibri" w:cs="Calibri"/>
        </w:rPr>
        <w:t xml:space="preserve"> </w:t>
      </w:r>
      <w:r w:rsidRPr="008C618A">
        <w:rPr>
          <w:rFonts w:ascii="Calibri" w:hAnsi="Calibri" w:cs="Calibri"/>
        </w:rPr>
        <w:t>The approach is easy to understand</w:t>
      </w:r>
      <w:r w:rsidR="00BD5008" w:rsidRPr="008C618A">
        <w:rPr>
          <w:rFonts w:ascii="Calibri" w:hAnsi="Calibri" w:cs="Calibri"/>
        </w:rPr>
        <w:t xml:space="preserve"> could serve as a conceptual basis for revised EU guidance</w:t>
      </w:r>
      <w:r w:rsidRPr="008C618A">
        <w:rPr>
          <w:rFonts w:ascii="Calibri" w:hAnsi="Calibri" w:cs="Calibri"/>
        </w:rPr>
        <w:t>.</w:t>
      </w:r>
      <w:r w:rsidR="005113E8">
        <w:rPr>
          <w:rFonts w:ascii="Calibri" w:hAnsi="Calibri" w:cs="Calibri"/>
        </w:rPr>
        <w:t xml:space="preserve"> </w:t>
      </w:r>
    </w:p>
    <w:sectPr w:rsidR="00D5107D" w:rsidRPr="008C618A" w:rsidSect="00B12287">
      <w:footerReference w:type="default" r:id="rId16"/>
      <w:pgSz w:w="11906" w:h="16838"/>
      <w:pgMar w:top="2160" w:right="1440" w:bottom="21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F45F" w14:textId="77777777" w:rsidR="005C65E4" w:rsidRDefault="005C65E4" w:rsidP="00C5758B">
      <w:r>
        <w:separator/>
      </w:r>
    </w:p>
  </w:endnote>
  <w:endnote w:type="continuationSeparator" w:id="0">
    <w:p w14:paraId="79CF97C6" w14:textId="77777777" w:rsidR="005C65E4" w:rsidRDefault="005C65E4" w:rsidP="00C5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gfa Rotis Sans Serif">
    <w:altName w:val="Calibri"/>
    <w:panose1 w:val="020B0604020202020204"/>
    <w:charset w:val="00"/>
    <w:family w:val="auto"/>
    <w:pitch w:val="variable"/>
    <w:sig w:usb0="00000003" w:usb1="00000000" w:usb2="00000000" w:usb3="00000000" w:csb0="00000001" w:csb1="00000000"/>
  </w:font>
  <w:font w:name="Playbill">
    <w:panose1 w:val="040506030006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0000021" w:usb3="00000000" w:csb0="0000019F" w:csb1="00000000"/>
  </w:font>
  <w:font w:name="Frutiger 45 Light">
    <w:altName w:val="Cambria"/>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HAnsi"/>
        <w:noProof/>
        <w:sz w:val="16"/>
        <w:lang w:val="en-GB"/>
      </w:rPr>
      <w:id w:val="1774286707"/>
      <w:docPartObj>
        <w:docPartGallery w:val="Page Numbers (Bottom of Page)"/>
        <w:docPartUnique/>
      </w:docPartObj>
    </w:sdtPr>
    <w:sdtEndPr/>
    <w:sdtContent>
      <w:tbl>
        <w:tblPr>
          <w:tblStyle w:val="TableGrid"/>
          <w:tblW w:w="93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934"/>
          <w:gridCol w:w="935"/>
          <w:gridCol w:w="935"/>
          <w:gridCol w:w="3738"/>
          <w:gridCol w:w="935"/>
          <w:gridCol w:w="935"/>
          <w:gridCol w:w="935"/>
        </w:tblGrid>
        <w:tr w:rsidR="00F557B7" w14:paraId="4ACA5CE8" w14:textId="77777777" w:rsidTr="00BA38AE">
          <w:trPr>
            <w:trHeight w:val="719"/>
          </w:trPr>
          <w:tc>
            <w:tcPr>
              <w:tcW w:w="934" w:type="dxa"/>
            </w:tcPr>
            <w:p w14:paraId="5CA45EB0" w14:textId="77777777" w:rsidR="00F557B7" w:rsidRDefault="00F557B7" w:rsidP="00F557B7">
              <w:pPr>
                <w:jc w:val="center"/>
              </w:pPr>
              <w:r>
                <w:rPr>
                  <w:noProof/>
                  <w:lang w:eastAsia="en-GB"/>
                </w:rPr>
                <w:drawing>
                  <wp:inline distT="0" distB="0" distL="0" distR="0" wp14:anchorId="227E4541" wp14:editId="61338E9A">
                    <wp:extent cx="586740" cy="586740"/>
                    <wp:effectExtent l="19050" t="0" r="3810" b="0"/>
                    <wp:docPr id="213" name="Picture 14" descr="Blo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4.png"/>
                            <pic:cNvPicPr/>
                          </pic:nvPicPr>
                          <pic:blipFill>
                            <a:blip r:embed="rId1"/>
                            <a:stretch>
                              <a:fillRect/>
                            </a:stretch>
                          </pic:blipFill>
                          <pic:spPr>
                            <a:xfrm>
                              <a:off x="0" y="0"/>
                              <a:ext cx="586740" cy="586740"/>
                            </a:xfrm>
                            <a:prstGeom prst="rect">
                              <a:avLst/>
                            </a:prstGeom>
                          </pic:spPr>
                        </pic:pic>
                      </a:graphicData>
                    </a:graphic>
                  </wp:inline>
                </w:drawing>
              </w:r>
            </w:p>
          </w:tc>
          <w:tc>
            <w:tcPr>
              <w:tcW w:w="935" w:type="dxa"/>
            </w:tcPr>
            <w:p w14:paraId="28D16420" w14:textId="77777777" w:rsidR="00F557B7" w:rsidRDefault="00F557B7" w:rsidP="00F557B7">
              <w:pPr>
                <w:jc w:val="center"/>
              </w:pPr>
              <w:r>
                <w:rPr>
                  <w:noProof/>
                  <w:lang w:eastAsia="en-GB"/>
                </w:rPr>
                <w:drawing>
                  <wp:inline distT="0" distB="0" distL="0" distR="0" wp14:anchorId="11F2886F" wp14:editId="2068BFAD">
                    <wp:extent cx="587375" cy="587375"/>
                    <wp:effectExtent l="19050" t="0" r="3175" b="0"/>
                    <wp:docPr id="214" name="Picture 15" descr="Blo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5.png"/>
                            <pic:cNvPicPr/>
                          </pic:nvPicPr>
                          <pic:blipFill>
                            <a:blip r:embed="rId2"/>
                            <a:stretch>
                              <a:fillRect/>
                            </a:stretch>
                          </pic:blipFill>
                          <pic:spPr>
                            <a:xfrm>
                              <a:off x="0" y="0"/>
                              <a:ext cx="587375" cy="587375"/>
                            </a:xfrm>
                            <a:prstGeom prst="rect">
                              <a:avLst/>
                            </a:prstGeom>
                          </pic:spPr>
                        </pic:pic>
                      </a:graphicData>
                    </a:graphic>
                  </wp:inline>
                </w:drawing>
              </w:r>
            </w:p>
          </w:tc>
          <w:tc>
            <w:tcPr>
              <w:tcW w:w="935" w:type="dxa"/>
            </w:tcPr>
            <w:p w14:paraId="03FADF78" w14:textId="77777777" w:rsidR="00F557B7" w:rsidRDefault="00F557B7" w:rsidP="00F557B7">
              <w:pPr>
                <w:jc w:val="center"/>
              </w:pPr>
              <w:r>
                <w:rPr>
                  <w:noProof/>
                  <w:lang w:eastAsia="en-GB"/>
                </w:rPr>
                <w:drawing>
                  <wp:inline distT="0" distB="0" distL="0" distR="0" wp14:anchorId="6D8E0FE9" wp14:editId="7E054318">
                    <wp:extent cx="587375" cy="587375"/>
                    <wp:effectExtent l="19050" t="0" r="3175" b="0"/>
                    <wp:docPr id="215" name="Picture 215" descr="Bl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1.png"/>
                            <pic:cNvPicPr/>
                          </pic:nvPicPr>
                          <pic:blipFill>
                            <a:blip r:embed="rId3"/>
                            <a:stretch>
                              <a:fillRect/>
                            </a:stretch>
                          </pic:blipFill>
                          <pic:spPr>
                            <a:xfrm>
                              <a:off x="0" y="0"/>
                              <a:ext cx="587375" cy="587375"/>
                            </a:xfrm>
                            <a:prstGeom prst="rect">
                              <a:avLst/>
                            </a:prstGeom>
                          </pic:spPr>
                        </pic:pic>
                      </a:graphicData>
                    </a:graphic>
                  </wp:inline>
                </w:drawing>
              </w:r>
            </w:p>
          </w:tc>
          <w:tc>
            <w:tcPr>
              <w:tcW w:w="3738" w:type="dxa"/>
            </w:tcPr>
            <w:p w14:paraId="4A5BA8C7" w14:textId="77777777" w:rsidR="00F557B7" w:rsidRPr="00490F75" w:rsidRDefault="00F557B7" w:rsidP="00F557B7">
              <w:pPr>
                <w:pStyle w:val="Pa2"/>
                <w:spacing w:line="180" w:lineRule="exact"/>
                <w:jc w:val="center"/>
                <w:rPr>
                  <w:rFonts w:cs="Agfa Rotis Sans Serif"/>
                  <w:b/>
                  <w:color w:val="31808B"/>
                  <w:sz w:val="16"/>
                  <w:szCs w:val="16"/>
                </w:rPr>
              </w:pPr>
              <w:r w:rsidRPr="00490F75">
                <w:rPr>
                  <w:rStyle w:val="A10"/>
                  <w:color w:val="31808B"/>
                </w:rPr>
                <w:t>EFPIA Brussels Office</w:t>
              </w:r>
            </w:p>
            <w:p w14:paraId="3966BE3F" w14:textId="77777777" w:rsidR="00F557B7" w:rsidRPr="00490F75" w:rsidRDefault="00F557B7" w:rsidP="00F557B7">
              <w:pPr>
                <w:pStyle w:val="Pa2"/>
                <w:spacing w:line="180" w:lineRule="exact"/>
                <w:jc w:val="center"/>
                <w:rPr>
                  <w:rFonts w:cs="Frutiger 45 Light"/>
                  <w:b/>
                  <w:color w:val="808080"/>
                  <w:sz w:val="16"/>
                  <w:szCs w:val="16"/>
                </w:rPr>
              </w:pPr>
              <w:r w:rsidRPr="00490F75">
                <w:rPr>
                  <w:rStyle w:val="A10"/>
                  <w:rFonts w:cs="Frutiger 45 Light"/>
                  <w:color w:val="808080"/>
                </w:rPr>
                <w:t xml:space="preserve">Leopold Plaza Building </w:t>
              </w:r>
              <w:r w:rsidRPr="00490F75">
                <w:rPr>
                  <w:noProof/>
                  <w:sz w:val="20"/>
                  <w:lang w:val="en-GB" w:eastAsia="en-GB"/>
                </w:rPr>
                <w:drawing>
                  <wp:inline distT="0" distB="0" distL="0" distR="0" wp14:anchorId="2AEBEDD3" wp14:editId="380F861A">
                    <wp:extent cx="58998" cy="61912"/>
                    <wp:effectExtent l="0" t="0" r="0" b="0"/>
                    <wp:docPr id="216"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490F75">
                <w:rPr>
                  <w:rStyle w:val="A11"/>
                  <w:b/>
                  <w:color w:val="808080"/>
                  <w:sz w:val="28"/>
                </w:rPr>
                <w:t xml:space="preserve"> </w:t>
              </w:r>
              <w:r w:rsidRPr="00490F75">
                <w:rPr>
                  <w:rStyle w:val="A10"/>
                  <w:rFonts w:cs="Frutiger 45 Light"/>
                  <w:color w:val="808080"/>
                </w:rPr>
                <w:t xml:space="preserve">Rue du </w:t>
              </w:r>
              <w:proofErr w:type="spellStart"/>
              <w:r w:rsidRPr="00490F75">
                <w:rPr>
                  <w:rStyle w:val="A10"/>
                  <w:rFonts w:cs="Frutiger 45 Light"/>
                  <w:color w:val="808080"/>
                </w:rPr>
                <w:t>Trône</w:t>
              </w:r>
              <w:proofErr w:type="spellEnd"/>
              <w:r w:rsidRPr="00490F75">
                <w:rPr>
                  <w:rStyle w:val="A10"/>
                  <w:rFonts w:cs="Frutiger 45 Light"/>
                  <w:color w:val="808080"/>
                </w:rPr>
                <w:t xml:space="preserve"> 108 </w:t>
              </w:r>
            </w:p>
            <w:p w14:paraId="359D5C91" w14:textId="77777777" w:rsidR="00F557B7" w:rsidRPr="000A340A" w:rsidRDefault="00F557B7" w:rsidP="00F557B7">
              <w:pPr>
                <w:pStyle w:val="Pa2"/>
                <w:spacing w:line="180" w:lineRule="exact"/>
                <w:jc w:val="center"/>
                <w:rPr>
                  <w:rFonts w:cs="Frutiger 45 Light"/>
                  <w:b/>
                  <w:color w:val="808080"/>
                  <w:sz w:val="16"/>
                  <w:szCs w:val="16"/>
                  <w:lang w:val="de-DE"/>
                </w:rPr>
              </w:pPr>
              <w:r w:rsidRPr="000A340A">
                <w:rPr>
                  <w:rStyle w:val="A10"/>
                  <w:rFonts w:cs="Frutiger 45 Light"/>
                  <w:color w:val="808080"/>
                  <w:lang w:val="de-DE"/>
                </w:rPr>
                <w:t xml:space="preserve">B-1050 Brussels </w:t>
              </w:r>
              <w:r w:rsidRPr="00490F75">
                <w:rPr>
                  <w:noProof/>
                  <w:sz w:val="20"/>
                  <w:lang w:val="en-GB" w:eastAsia="en-GB"/>
                </w:rPr>
                <w:drawing>
                  <wp:inline distT="0" distB="0" distL="0" distR="0" wp14:anchorId="4698741A" wp14:editId="61AAEF6C">
                    <wp:extent cx="58998" cy="61912"/>
                    <wp:effectExtent l="0" t="0" r="0" b="0"/>
                    <wp:docPr id="217"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0A340A">
                <w:rPr>
                  <w:rStyle w:val="A11"/>
                  <w:b/>
                  <w:color w:val="808080"/>
                  <w:sz w:val="28"/>
                  <w:lang w:val="de-DE"/>
                </w:rPr>
                <w:t xml:space="preserve"> </w:t>
              </w:r>
              <w:r w:rsidRPr="000A340A">
                <w:rPr>
                  <w:rStyle w:val="A10"/>
                  <w:rFonts w:cs="Frutiger 45 Light"/>
                  <w:color w:val="808080"/>
                  <w:lang w:val="de-DE"/>
                </w:rPr>
                <w:t>Belgium</w:t>
              </w:r>
            </w:p>
            <w:p w14:paraId="70F4ECCE" w14:textId="77777777" w:rsidR="00F557B7" w:rsidRPr="000A340A" w:rsidRDefault="00F557B7" w:rsidP="00F557B7">
              <w:pPr>
                <w:pStyle w:val="Pa2"/>
                <w:spacing w:line="180" w:lineRule="exact"/>
                <w:jc w:val="center"/>
                <w:rPr>
                  <w:rFonts w:cs="Frutiger 45 Light"/>
                  <w:b/>
                  <w:color w:val="808080"/>
                  <w:sz w:val="16"/>
                  <w:szCs w:val="16"/>
                  <w:lang w:val="de-DE"/>
                </w:rPr>
              </w:pPr>
              <w:r w:rsidRPr="000A340A">
                <w:rPr>
                  <w:rStyle w:val="A10"/>
                  <w:rFonts w:cs="Frutiger 45 Light"/>
                  <w:color w:val="808080"/>
                  <w:lang w:val="de-DE"/>
                </w:rPr>
                <w:t xml:space="preserve">Tel: + 32 (0)2 626 25 55 </w:t>
              </w:r>
              <w:r w:rsidRPr="00490F75">
                <w:rPr>
                  <w:noProof/>
                  <w:sz w:val="20"/>
                  <w:lang w:val="en-GB" w:eastAsia="en-GB"/>
                </w:rPr>
                <w:drawing>
                  <wp:inline distT="0" distB="0" distL="0" distR="0" wp14:anchorId="75AFE43D" wp14:editId="77D3E879">
                    <wp:extent cx="58998" cy="61912"/>
                    <wp:effectExtent l="0" t="0" r="0" b="0"/>
                    <wp:docPr id="218"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p>
            <w:p w14:paraId="7F2D9BA2" w14:textId="77777777" w:rsidR="00F557B7" w:rsidRPr="000A340A" w:rsidRDefault="00F557B7" w:rsidP="00F557B7">
              <w:pPr>
                <w:spacing w:line="180" w:lineRule="exact"/>
                <w:jc w:val="center"/>
                <w:rPr>
                  <w:lang w:val="de-DE"/>
                </w:rPr>
              </w:pPr>
              <w:r w:rsidRPr="000A340A">
                <w:rPr>
                  <w:rStyle w:val="A10"/>
                  <w:rFonts w:ascii="Agfa Rotis Sans Serif" w:hAnsi="Agfa Rotis Sans Serif"/>
                  <w:color w:val="31808B"/>
                  <w:lang w:val="de-DE"/>
                </w:rPr>
                <w:t xml:space="preserve">www.efpia.eu </w:t>
              </w:r>
              <w:r w:rsidRPr="00490F75">
                <w:rPr>
                  <w:noProof/>
                  <w:lang w:eastAsia="en-GB"/>
                </w:rPr>
                <w:drawing>
                  <wp:inline distT="0" distB="0" distL="0" distR="0" wp14:anchorId="178A74F4" wp14:editId="35B56605">
                    <wp:extent cx="58998" cy="61912"/>
                    <wp:effectExtent l="0" t="0" r="0" b="0"/>
                    <wp:docPr id="219"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0A340A">
                <w:rPr>
                  <w:rStyle w:val="A11"/>
                  <w:rFonts w:ascii="Agfa Rotis Sans Serif" w:hAnsi="Agfa Rotis Sans Serif"/>
                  <w:b/>
                  <w:color w:val="31808B"/>
                  <w:sz w:val="28"/>
                  <w:lang w:val="de-DE"/>
                </w:rPr>
                <w:t xml:space="preserve"> </w:t>
              </w:r>
              <w:r w:rsidRPr="000A340A">
                <w:rPr>
                  <w:rStyle w:val="A10"/>
                  <w:rFonts w:ascii="Agfa Rotis Sans Serif" w:hAnsi="Agfa Rotis Sans Serif"/>
                  <w:color w:val="31808B"/>
                  <w:lang w:val="de-DE"/>
                </w:rPr>
                <w:t>info@efpia.eu</w:t>
              </w:r>
            </w:p>
          </w:tc>
          <w:tc>
            <w:tcPr>
              <w:tcW w:w="935" w:type="dxa"/>
            </w:tcPr>
            <w:p w14:paraId="13B89F59" w14:textId="77777777" w:rsidR="00F557B7" w:rsidRDefault="00F557B7" w:rsidP="00F557B7">
              <w:pPr>
                <w:jc w:val="center"/>
              </w:pPr>
              <w:r>
                <w:rPr>
                  <w:noProof/>
                  <w:lang w:eastAsia="en-GB"/>
                </w:rPr>
                <w:drawing>
                  <wp:inline distT="0" distB="0" distL="0" distR="0" wp14:anchorId="0B179C32" wp14:editId="23CFDD7E">
                    <wp:extent cx="587375" cy="587375"/>
                    <wp:effectExtent l="19050" t="0" r="3175" b="0"/>
                    <wp:docPr id="220" name="Picture 17" descr="Blo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5.png"/>
                            <pic:cNvPicPr/>
                          </pic:nvPicPr>
                          <pic:blipFill>
                            <a:blip r:embed="rId2"/>
                            <a:stretch>
                              <a:fillRect/>
                            </a:stretch>
                          </pic:blipFill>
                          <pic:spPr>
                            <a:xfrm>
                              <a:off x="0" y="0"/>
                              <a:ext cx="587375" cy="587375"/>
                            </a:xfrm>
                            <a:prstGeom prst="rect">
                              <a:avLst/>
                            </a:prstGeom>
                          </pic:spPr>
                        </pic:pic>
                      </a:graphicData>
                    </a:graphic>
                  </wp:inline>
                </w:drawing>
              </w:r>
            </w:p>
          </w:tc>
          <w:tc>
            <w:tcPr>
              <w:tcW w:w="935" w:type="dxa"/>
            </w:tcPr>
            <w:p w14:paraId="2CC5D8CC" w14:textId="77777777" w:rsidR="00F557B7" w:rsidRDefault="00F557B7" w:rsidP="00F557B7">
              <w:pPr>
                <w:jc w:val="center"/>
              </w:pPr>
              <w:r>
                <w:rPr>
                  <w:noProof/>
                  <w:lang w:eastAsia="en-GB"/>
                </w:rPr>
                <w:drawing>
                  <wp:inline distT="0" distB="0" distL="0" distR="0" wp14:anchorId="7870EE81" wp14:editId="1F7AD2DC">
                    <wp:extent cx="587375" cy="587375"/>
                    <wp:effectExtent l="19050" t="0" r="3175" b="0"/>
                    <wp:docPr id="221" name="Picture 18" descr="Blo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3.png"/>
                            <pic:cNvPicPr/>
                          </pic:nvPicPr>
                          <pic:blipFill>
                            <a:blip r:embed="rId5"/>
                            <a:stretch>
                              <a:fillRect/>
                            </a:stretch>
                          </pic:blipFill>
                          <pic:spPr>
                            <a:xfrm>
                              <a:off x="0" y="0"/>
                              <a:ext cx="587375" cy="587375"/>
                            </a:xfrm>
                            <a:prstGeom prst="rect">
                              <a:avLst/>
                            </a:prstGeom>
                          </pic:spPr>
                        </pic:pic>
                      </a:graphicData>
                    </a:graphic>
                  </wp:inline>
                </w:drawing>
              </w:r>
            </w:p>
          </w:tc>
          <w:tc>
            <w:tcPr>
              <w:tcW w:w="935" w:type="dxa"/>
            </w:tcPr>
            <w:p w14:paraId="3D1ADE2E" w14:textId="77777777" w:rsidR="00F557B7" w:rsidRDefault="00F557B7" w:rsidP="00F557B7">
              <w:pPr>
                <w:jc w:val="center"/>
              </w:pPr>
              <w:r>
                <w:rPr>
                  <w:noProof/>
                  <w:lang w:eastAsia="en-GB"/>
                </w:rPr>
                <w:drawing>
                  <wp:inline distT="0" distB="0" distL="0" distR="0" wp14:anchorId="45F80F79" wp14:editId="58766EB8">
                    <wp:extent cx="587375" cy="587375"/>
                    <wp:effectExtent l="19050" t="0" r="3175" b="0"/>
                    <wp:docPr id="222" name="Picture 19" descr="Blo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6.png"/>
                            <pic:cNvPicPr/>
                          </pic:nvPicPr>
                          <pic:blipFill>
                            <a:blip r:embed="rId6"/>
                            <a:stretch>
                              <a:fillRect/>
                            </a:stretch>
                          </pic:blipFill>
                          <pic:spPr>
                            <a:xfrm>
                              <a:off x="0" y="0"/>
                              <a:ext cx="587375" cy="587375"/>
                            </a:xfrm>
                            <a:prstGeom prst="rect">
                              <a:avLst/>
                            </a:prstGeom>
                          </pic:spPr>
                        </pic:pic>
                      </a:graphicData>
                    </a:graphic>
                  </wp:inline>
                </w:drawing>
              </w:r>
            </w:p>
          </w:tc>
        </w:tr>
      </w:tbl>
      <w:p w14:paraId="505B1416" w14:textId="77777777" w:rsidR="00E8596A" w:rsidRDefault="00E8596A">
        <w:pPr>
          <w:pStyle w:val="Footer"/>
          <w:jc w:val="right"/>
          <w:rPr>
            <w:noProof w:val="0"/>
          </w:rPr>
        </w:pPr>
      </w:p>
      <w:p w14:paraId="511E67BC" w14:textId="77777777" w:rsidR="002E0603" w:rsidRDefault="002E0603">
        <w:pPr>
          <w:pStyle w:val="Footer"/>
          <w:jc w:val="right"/>
        </w:pPr>
        <w:r>
          <w:rPr>
            <w:noProof w:val="0"/>
          </w:rPr>
          <w:fldChar w:fldCharType="begin"/>
        </w:r>
        <w:r>
          <w:instrText xml:space="preserve"> PAGE   \* MERGEFORMAT </w:instrText>
        </w:r>
        <w:r>
          <w:rPr>
            <w:noProof w:val="0"/>
          </w:rPr>
          <w:fldChar w:fldCharType="separate"/>
        </w:r>
        <w:r w:rsidR="00B036A6">
          <w:t>1</w:t>
        </w:r>
        <w:r>
          <w:fldChar w:fldCharType="end"/>
        </w:r>
      </w:p>
    </w:sdtContent>
  </w:sdt>
  <w:p w14:paraId="167E65AD" w14:textId="77777777" w:rsidR="002E0603" w:rsidRDefault="002E0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EF16" w14:textId="77777777" w:rsidR="00F557B7" w:rsidRDefault="00F557B7" w:rsidP="000D12C8">
    <w:pPr>
      <w:pStyle w:val="Footer"/>
      <w:rPr>
        <w:color w:val="FFFFFF" w:themeColor="background1"/>
        <w:sz w:val="24"/>
      </w:rPr>
    </w:pPr>
  </w:p>
  <w:p w14:paraId="7A45DA42" w14:textId="77777777" w:rsidR="00F557B7" w:rsidRDefault="005C65E4">
    <w:pPr>
      <w:pStyle w:val="Footer"/>
      <w:jc w:val="right"/>
    </w:pPr>
    <w:sdt>
      <w:sdtPr>
        <w:rPr>
          <w:noProof w:val="0"/>
        </w:rPr>
        <w:id w:val="2101597451"/>
        <w:docPartObj>
          <w:docPartGallery w:val="Page Numbers (Bottom of Page)"/>
          <w:docPartUnique/>
        </w:docPartObj>
      </w:sdtPr>
      <w:sdtEndPr>
        <w:rPr>
          <w:noProof/>
        </w:rPr>
      </w:sdtEndPr>
      <w:sdtContent>
        <w:r w:rsidR="00F557B7">
          <w:rPr>
            <w:noProof w:val="0"/>
          </w:rPr>
          <w:fldChar w:fldCharType="begin"/>
        </w:r>
        <w:r w:rsidR="00F557B7">
          <w:instrText xml:space="preserve"> PAGE   \* MERGEFORMAT </w:instrText>
        </w:r>
        <w:r w:rsidR="00F557B7">
          <w:rPr>
            <w:noProof w:val="0"/>
          </w:rPr>
          <w:fldChar w:fldCharType="separate"/>
        </w:r>
        <w:r w:rsidR="00B036A6">
          <w:t>4</w:t>
        </w:r>
        <w:r w:rsidR="00F557B7">
          <w:fldChar w:fldCharType="end"/>
        </w:r>
      </w:sdtContent>
    </w:sdt>
  </w:p>
  <w:p w14:paraId="64D309D0" w14:textId="77777777" w:rsidR="00F557B7" w:rsidRDefault="00F55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291792212"/>
      <w:docPartObj>
        <w:docPartGallery w:val="Page Numbers (Bottom of Page)"/>
        <w:docPartUnique/>
      </w:docPartObj>
    </w:sdtPr>
    <w:sdtEndPr>
      <w:rPr>
        <w:noProof/>
      </w:rPr>
    </w:sdtEndPr>
    <w:sdtContent>
      <w:p w14:paraId="35E66CC6" w14:textId="77777777" w:rsidR="00F557B7" w:rsidRDefault="00F557B7" w:rsidP="00AC7A03">
        <w:pPr>
          <w:pStyle w:val="Footer"/>
          <w:jc w:val="right"/>
        </w:pPr>
        <w:r>
          <w:rPr>
            <w:noProof w:val="0"/>
          </w:rPr>
          <w:fldChar w:fldCharType="begin"/>
        </w:r>
        <w:r>
          <w:instrText xml:space="preserve"> PAGE   \* MERGEFORMAT </w:instrText>
        </w:r>
        <w:r>
          <w:rPr>
            <w:noProof w:val="0"/>
          </w:rPr>
          <w:fldChar w:fldCharType="separate"/>
        </w:r>
        <w:r w:rsidR="00B036A6">
          <w:t>5</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HAnsi"/>
        <w:noProof/>
        <w:sz w:val="28"/>
        <w:lang w:val="en-GB"/>
      </w:rPr>
      <w:id w:val="310526008"/>
      <w:docPartObj>
        <w:docPartGallery w:val="Page Numbers (Bottom of Page)"/>
        <w:docPartUnique/>
      </w:docPartObj>
    </w:sdtPr>
    <w:sdtEndPr>
      <w:rPr>
        <w:sz w:val="16"/>
      </w:rPr>
    </w:sdtEndPr>
    <w:sdtContent>
      <w:tbl>
        <w:tblPr>
          <w:tblStyle w:val="TableGrid"/>
          <w:tblW w:w="93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934"/>
          <w:gridCol w:w="935"/>
          <w:gridCol w:w="935"/>
          <w:gridCol w:w="3738"/>
          <w:gridCol w:w="935"/>
          <w:gridCol w:w="935"/>
          <w:gridCol w:w="935"/>
        </w:tblGrid>
        <w:tr w:rsidR="00F557B7" w14:paraId="1219E8CF" w14:textId="77777777" w:rsidTr="00BA38AE">
          <w:trPr>
            <w:trHeight w:val="719"/>
          </w:trPr>
          <w:tc>
            <w:tcPr>
              <w:tcW w:w="934" w:type="dxa"/>
            </w:tcPr>
            <w:p w14:paraId="4C43BCC6" w14:textId="77777777" w:rsidR="00F557B7" w:rsidRDefault="00F557B7" w:rsidP="00F557B7">
              <w:pPr>
                <w:jc w:val="center"/>
              </w:pPr>
              <w:r>
                <w:rPr>
                  <w:noProof/>
                  <w:lang w:eastAsia="en-GB"/>
                </w:rPr>
                <w:drawing>
                  <wp:inline distT="0" distB="0" distL="0" distR="0" wp14:anchorId="528279E9" wp14:editId="728BBD27">
                    <wp:extent cx="586740" cy="586740"/>
                    <wp:effectExtent l="19050" t="0" r="3810" b="0"/>
                    <wp:docPr id="32" name="Picture 14" descr="Blo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4.png"/>
                            <pic:cNvPicPr/>
                          </pic:nvPicPr>
                          <pic:blipFill>
                            <a:blip r:embed="rId1"/>
                            <a:stretch>
                              <a:fillRect/>
                            </a:stretch>
                          </pic:blipFill>
                          <pic:spPr>
                            <a:xfrm>
                              <a:off x="0" y="0"/>
                              <a:ext cx="586740" cy="586740"/>
                            </a:xfrm>
                            <a:prstGeom prst="rect">
                              <a:avLst/>
                            </a:prstGeom>
                          </pic:spPr>
                        </pic:pic>
                      </a:graphicData>
                    </a:graphic>
                  </wp:inline>
                </w:drawing>
              </w:r>
            </w:p>
          </w:tc>
          <w:tc>
            <w:tcPr>
              <w:tcW w:w="935" w:type="dxa"/>
            </w:tcPr>
            <w:p w14:paraId="5DADD4C4" w14:textId="77777777" w:rsidR="00F557B7" w:rsidRDefault="00F557B7" w:rsidP="00F557B7">
              <w:pPr>
                <w:jc w:val="center"/>
              </w:pPr>
              <w:r>
                <w:rPr>
                  <w:noProof/>
                  <w:lang w:eastAsia="en-GB"/>
                </w:rPr>
                <w:drawing>
                  <wp:inline distT="0" distB="0" distL="0" distR="0" wp14:anchorId="75E47561" wp14:editId="5877FFF3">
                    <wp:extent cx="587375" cy="587375"/>
                    <wp:effectExtent l="19050" t="0" r="3175" b="0"/>
                    <wp:docPr id="33" name="Picture 15" descr="Blo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5.png"/>
                            <pic:cNvPicPr/>
                          </pic:nvPicPr>
                          <pic:blipFill>
                            <a:blip r:embed="rId2"/>
                            <a:stretch>
                              <a:fillRect/>
                            </a:stretch>
                          </pic:blipFill>
                          <pic:spPr>
                            <a:xfrm>
                              <a:off x="0" y="0"/>
                              <a:ext cx="587375" cy="587375"/>
                            </a:xfrm>
                            <a:prstGeom prst="rect">
                              <a:avLst/>
                            </a:prstGeom>
                          </pic:spPr>
                        </pic:pic>
                      </a:graphicData>
                    </a:graphic>
                  </wp:inline>
                </w:drawing>
              </w:r>
            </w:p>
          </w:tc>
          <w:tc>
            <w:tcPr>
              <w:tcW w:w="935" w:type="dxa"/>
            </w:tcPr>
            <w:p w14:paraId="70C83F10" w14:textId="77777777" w:rsidR="00F557B7" w:rsidRDefault="00F557B7" w:rsidP="00F557B7">
              <w:pPr>
                <w:jc w:val="center"/>
              </w:pPr>
              <w:r>
                <w:rPr>
                  <w:noProof/>
                  <w:lang w:eastAsia="en-GB"/>
                </w:rPr>
                <w:drawing>
                  <wp:inline distT="0" distB="0" distL="0" distR="0" wp14:anchorId="0EA2F4E8" wp14:editId="1C9A23C7">
                    <wp:extent cx="587375" cy="587375"/>
                    <wp:effectExtent l="19050" t="0" r="3175" b="0"/>
                    <wp:docPr id="34" name="Picture 34" descr="Bl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1.png"/>
                            <pic:cNvPicPr/>
                          </pic:nvPicPr>
                          <pic:blipFill>
                            <a:blip r:embed="rId3"/>
                            <a:stretch>
                              <a:fillRect/>
                            </a:stretch>
                          </pic:blipFill>
                          <pic:spPr>
                            <a:xfrm>
                              <a:off x="0" y="0"/>
                              <a:ext cx="587375" cy="587375"/>
                            </a:xfrm>
                            <a:prstGeom prst="rect">
                              <a:avLst/>
                            </a:prstGeom>
                          </pic:spPr>
                        </pic:pic>
                      </a:graphicData>
                    </a:graphic>
                  </wp:inline>
                </w:drawing>
              </w:r>
            </w:p>
          </w:tc>
          <w:tc>
            <w:tcPr>
              <w:tcW w:w="3738" w:type="dxa"/>
            </w:tcPr>
            <w:p w14:paraId="4D283D2D" w14:textId="77777777" w:rsidR="00F557B7" w:rsidRPr="00490F75" w:rsidRDefault="00F557B7" w:rsidP="00F557B7">
              <w:pPr>
                <w:pStyle w:val="Pa2"/>
                <w:spacing w:line="180" w:lineRule="exact"/>
                <w:jc w:val="center"/>
                <w:rPr>
                  <w:rFonts w:cs="Agfa Rotis Sans Serif"/>
                  <w:b/>
                  <w:color w:val="31808B"/>
                  <w:sz w:val="16"/>
                  <w:szCs w:val="16"/>
                </w:rPr>
              </w:pPr>
              <w:r w:rsidRPr="00490F75">
                <w:rPr>
                  <w:rStyle w:val="A10"/>
                  <w:color w:val="31808B"/>
                </w:rPr>
                <w:t>EFPIA Brussels Office</w:t>
              </w:r>
            </w:p>
            <w:p w14:paraId="1BBFC4A3" w14:textId="77777777" w:rsidR="00F557B7" w:rsidRPr="00490F75" w:rsidRDefault="00F557B7" w:rsidP="00F557B7">
              <w:pPr>
                <w:pStyle w:val="Pa2"/>
                <w:spacing w:line="180" w:lineRule="exact"/>
                <w:jc w:val="center"/>
                <w:rPr>
                  <w:rFonts w:cs="Frutiger 45 Light"/>
                  <w:b/>
                  <w:color w:val="808080"/>
                  <w:sz w:val="16"/>
                  <w:szCs w:val="16"/>
                </w:rPr>
              </w:pPr>
              <w:r w:rsidRPr="00490F75">
                <w:rPr>
                  <w:rStyle w:val="A10"/>
                  <w:rFonts w:cs="Frutiger 45 Light"/>
                  <w:color w:val="808080"/>
                </w:rPr>
                <w:t xml:space="preserve">Leopold Plaza Building </w:t>
              </w:r>
              <w:r w:rsidRPr="00490F75">
                <w:rPr>
                  <w:noProof/>
                  <w:sz w:val="20"/>
                  <w:lang w:val="en-GB" w:eastAsia="en-GB"/>
                </w:rPr>
                <w:drawing>
                  <wp:inline distT="0" distB="0" distL="0" distR="0" wp14:anchorId="605B454F" wp14:editId="287ED47F">
                    <wp:extent cx="58998" cy="61912"/>
                    <wp:effectExtent l="0" t="0" r="0" b="0"/>
                    <wp:docPr id="35"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490F75">
                <w:rPr>
                  <w:rStyle w:val="A11"/>
                  <w:b/>
                  <w:color w:val="808080"/>
                  <w:sz w:val="28"/>
                </w:rPr>
                <w:t xml:space="preserve"> </w:t>
              </w:r>
              <w:r w:rsidRPr="00490F75">
                <w:rPr>
                  <w:rStyle w:val="A10"/>
                  <w:rFonts w:cs="Frutiger 45 Light"/>
                  <w:color w:val="808080"/>
                </w:rPr>
                <w:t xml:space="preserve">Rue du </w:t>
              </w:r>
              <w:proofErr w:type="spellStart"/>
              <w:r w:rsidRPr="00490F75">
                <w:rPr>
                  <w:rStyle w:val="A10"/>
                  <w:rFonts w:cs="Frutiger 45 Light"/>
                  <w:color w:val="808080"/>
                </w:rPr>
                <w:t>Trône</w:t>
              </w:r>
              <w:proofErr w:type="spellEnd"/>
              <w:r w:rsidRPr="00490F75">
                <w:rPr>
                  <w:rStyle w:val="A10"/>
                  <w:rFonts w:cs="Frutiger 45 Light"/>
                  <w:color w:val="808080"/>
                </w:rPr>
                <w:t xml:space="preserve"> 108 </w:t>
              </w:r>
            </w:p>
            <w:p w14:paraId="26E75A2A" w14:textId="77777777" w:rsidR="00F557B7" w:rsidRPr="000A340A" w:rsidRDefault="00F557B7" w:rsidP="00F557B7">
              <w:pPr>
                <w:pStyle w:val="Pa2"/>
                <w:spacing w:line="180" w:lineRule="exact"/>
                <w:jc w:val="center"/>
                <w:rPr>
                  <w:rFonts w:cs="Frutiger 45 Light"/>
                  <w:b/>
                  <w:color w:val="808080"/>
                  <w:sz w:val="16"/>
                  <w:szCs w:val="16"/>
                  <w:lang w:val="de-DE"/>
                </w:rPr>
              </w:pPr>
              <w:r w:rsidRPr="000A340A">
                <w:rPr>
                  <w:rStyle w:val="A10"/>
                  <w:rFonts w:cs="Frutiger 45 Light"/>
                  <w:color w:val="808080"/>
                  <w:lang w:val="de-DE"/>
                </w:rPr>
                <w:t xml:space="preserve">B-1050 Brussels </w:t>
              </w:r>
              <w:r w:rsidRPr="00490F75">
                <w:rPr>
                  <w:noProof/>
                  <w:sz w:val="20"/>
                  <w:lang w:val="en-GB" w:eastAsia="en-GB"/>
                </w:rPr>
                <w:drawing>
                  <wp:inline distT="0" distB="0" distL="0" distR="0" wp14:anchorId="24AADC16" wp14:editId="49CA0A90">
                    <wp:extent cx="58998" cy="61912"/>
                    <wp:effectExtent l="0" t="0" r="0" b="0"/>
                    <wp:docPr id="36"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0A340A">
                <w:rPr>
                  <w:rStyle w:val="A11"/>
                  <w:b/>
                  <w:color w:val="808080"/>
                  <w:sz w:val="28"/>
                  <w:lang w:val="de-DE"/>
                </w:rPr>
                <w:t xml:space="preserve"> </w:t>
              </w:r>
              <w:r w:rsidRPr="000A340A">
                <w:rPr>
                  <w:rStyle w:val="A10"/>
                  <w:rFonts w:cs="Frutiger 45 Light"/>
                  <w:color w:val="808080"/>
                  <w:lang w:val="de-DE"/>
                </w:rPr>
                <w:t>Belgium</w:t>
              </w:r>
            </w:p>
            <w:p w14:paraId="147AB289" w14:textId="77777777" w:rsidR="00F557B7" w:rsidRPr="000A340A" w:rsidRDefault="00F557B7" w:rsidP="00F557B7">
              <w:pPr>
                <w:pStyle w:val="Pa2"/>
                <w:spacing w:line="180" w:lineRule="exact"/>
                <w:jc w:val="center"/>
                <w:rPr>
                  <w:rFonts w:cs="Frutiger 45 Light"/>
                  <w:b/>
                  <w:color w:val="808080"/>
                  <w:sz w:val="16"/>
                  <w:szCs w:val="16"/>
                  <w:lang w:val="de-DE"/>
                </w:rPr>
              </w:pPr>
              <w:r w:rsidRPr="000A340A">
                <w:rPr>
                  <w:rStyle w:val="A10"/>
                  <w:rFonts w:cs="Frutiger 45 Light"/>
                  <w:color w:val="808080"/>
                  <w:lang w:val="de-DE"/>
                </w:rPr>
                <w:t xml:space="preserve">Tel: + 32 (0)2 626 25 55 </w:t>
              </w:r>
              <w:r w:rsidRPr="00490F75">
                <w:rPr>
                  <w:noProof/>
                  <w:sz w:val="20"/>
                  <w:lang w:val="en-GB" w:eastAsia="en-GB"/>
                </w:rPr>
                <w:drawing>
                  <wp:inline distT="0" distB="0" distL="0" distR="0" wp14:anchorId="67041698" wp14:editId="22E3AEB8">
                    <wp:extent cx="58998" cy="61912"/>
                    <wp:effectExtent l="0" t="0" r="0" b="0"/>
                    <wp:docPr id="37"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p>
            <w:p w14:paraId="421FEADD" w14:textId="77777777" w:rsidR="00F557B7" w:rsidRPr="000A340A" w:rsidRDefault="00F557B7" w:rsidP="00F557B7">
              <w:pPr>
                <w:spacing w:line="180" w:lineRule="exact"/>
                <w:jc w:val="center"/>
                <w:rPr>
                  <w:lang w:val="de-DE"/>
                </w:rPr>
              </w:pPr>
              <w:r w:rsidRPr="000A340A">
                <w:rPr>
                  <w:rStyle w:val="A10"/>
                  <w:rFonts w:ascii="Agfa Rotis Sans Serif" w:hAnsi="Agfa Rotis Sans Serif"/>
                  <w:color w:val="31808B"/>
                  <w:lang w:val="de-DE"/>
                </w:rPr>
                <w:t xml:space="preserve">www.efpia.eu </w:t>
              </w:r>
              <w:r w:rsidRPr="00490F75">
                <w:rPr>
                  <w:noProof/>
                  <w:lang w:eastAsia="en-GB"/>
                </w:rPr>
                <w:drawing>
                  <wp:inline distT="0" distB="0" distL="0" distR="0" wp14:anchorId="13B29918" wp14:editId="45A7F5CD">
                    <wp:extent cx="58998" cy="61912"/>
                    <wp:effectExtent l="0" t="0" r="0" b="0"/>
                    <wp:docPr id="38" name="Picture 2" descr="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png"/>
                            <pic:cNvPicPr/>
                          </pic:nvPicPr>
                          <pic:blipFill>
                            <a:blip r:embed="rId4" cstate="print"/>
                            <a:stretch>
                              <a:fillRect/>
                            </a:stretch>
                          </pic:blipFill>
                          <pic:spPr>
                            <a:xfrm>
                              <a:off x="0" y="0"/>
                              <a:ext cx="65827" cy="69078"/>
                            </a:xfrm>
                            <a:prstGeom prst="rect">
                              <a:avLst/>
                            </a:prstGeom>
                            <a:noFill/>
                          </pic:spPr>
                        </pic:pic>
                      </a:graphicData>
                    </a:graphic>
                  </wp:inline>
                </w:drawing>
              </w:r>
              <w:r w:rsidRPr="000A340A">
                <w:rPr>
                  <w:rStyle w:val="A11"/>
                  <w:rFonts w:ascii="Agfa Rotis Sans Serif" w:hAnsi="Agfa Rotis Sans Serif"/>
                  <w:b/>
                  <w:color w:val="31808B"/>
                  <w:sz w:val="28"/>
                  <w:lang w:val="de-DE"/>
                </w:rPr>
                <w:t xml:space="preserve"> </w:t>
              </w:r>
              <w:r w:rsidRPr="000A340A">
                <w:rPr>
                  <w:rStyle w:val="A10"/>
                  <w:rFonts w:ascii="Agfa Rotis Sans Serif" w:hAnsi="Agfa Rotis Sans Serif"/>
                  <w:color w:val="31808B"/>
                  <w:lang w:val="de-DE"/>
                </w:rPr>
                <w:t>info@efpia.eu</w:t>
              </w:r>
            </w:p>
          </w:tc>
          <w:tc>
            <w:tcPr>
              <w:tcW w:w="935" w:type="dxa"/>
            </w:tcPr>
            <w:p w14:paraId="5D8209DC" w14:textId="77777777" w:rsidR="00F557B7" w:rsidRDefault="00F557B7" w:rsidP="00F557B7">
              <w:pPr>
                <w:jc w:val="center"/>
              </w:pPr>
              <w:r>
                <w:rPr>
                  <w:noProof/>
                  <w:lang w:eastAsia="en-GB"/>
                </w:rPr>
                <w:drawing>
                  <wp:inline distT="0" distB="0" distL="0" distR="0" wp14:anchorId="578D8945" wp14:editId="6BD80710">
                    <wp:extent cx="587375" cy="587375"/>
                    <wp:effectExtent l="19050" t="0" r="3175" b="0"/>
                    <wp:docPr id="39" name="Picture 17" descr="Blo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5.png"/>
                            <pic:cNvPicPr/>
                          </pic:nvPicPr>
                          <pic:blipFill>
                            <a:blip r:embed="rId2"/>
                            <a:stretch>
                              <a:fillRect/>
                            </a:stretch>
                          </pic:blipFill>
                          <pic:spPr>
                            <a:xfrm>
                              <a:off x="0" y="0"/>
                              <a:ext cx="587375" cy="587375"/>
                            </a:xfrm>
                            <a:prstGeom prst="rect">
                              <a:avLst/>
                            </a:prstGeom>
                          </pic:spPr>
                        </pic:pic>
                      </a:graphicData>
                    </a:graphic>
                  </wp:inline>
                </w:drawing>
              </w:r>
            </w:p>
          </w:tc>
          <w:tc>
            <w:tcPr>
              <w:tcW w:w="935" w:type="dxa"/>
            </w:tcPr>
            <w:p w14:paraId="60C11423" w14:textId="77777777" w:rsidR="00F557B7" w:rsidRDefault="00F557B7" w:rsidP="00F557B7">
              <w:pPr>
                <w:jc w:val="center"/>
              </w:pPr>
              <w:r>
                <w:rPr>
                  <w:noProof/>
                  <w:lang w:eastAsia="en-GB"/>
                </w:rPr>
                <w:drawing>
                  <wp:inline distT="0" distB="0" distL="0" distR="0" wp14:anchorId="5993D956" wp14:editId="1805A112">
                    <wp:extent cx="587375" cy="587375"/>
                    <wp:effectExtent l="19050" t="0" r="3175" b="0"/>
                    <wp:docPr id="40" name="Picture 18" descr="Blo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3.png"/>
                            <pic:cNvPicPr/>
                          </pic:nvPicPr>
                          <pic:blipFill>
                            <a:blip r:embed="rId5"/>
                            <a:stretch>
                              <a:fillRect/>
                            </a:stretch>
                          </pic:blipFill>
                          <pic:spPr>
                            <a:xfrm>
                              <a:off x="0" y="0"/>
                              <a:ext cx="587375" cy="587375"/>
                            </a:xfrm>
                            <a:prstGeom prst="rect">
                              <a:avLst/>
                            </a:prstGeom>
                          </pic:spPr>
                        </pic:pic>
                      </a:graphicData>
                    </a:graphic>
                  </wp:inline>
                </w:drawing>
              </w:r>
            </w:p>
          </w:tc>
          <w:tc>
            <w:tcPr>
              <w:tcW w:w="935" w:type="dxa"/>
            </w:tcPr>
            <w:p w14:paraId="6A2E6D09" w14:textId="77777777" w:rsidR="00F557B7" w:rsidRDefault="00F557B7" w:rsidP="00F557B7">
              <w:pPr>
                <w:jc w:val="center"/>
              </w:pPr>
              <w:r>
                <w:rPr>
                  <w:noProof/>
                  <w:lang w:eastAsia="en-GB"/>
                </w:rPr>
                <w:drawing>
                  <wp:inline distT="0" distB="0" distL="0" distR="0" wp14:anchorId="2B00E770" wp14:editId="5CBB7A7E">
                    <wp:extent cx="587375" cy="587375"/>
                    <wp:effectExtent l="19050" t="0" r="3175" b="0"/>
                    <wp:docPr id="41" name="Picture 19" descr="Blo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6.png"/>
                            <pic:cNvPicPr/>
                          </pic:nvPicPr>
                          <pic:blipFill>
                            <a:blip r:embed="rId6"/>
                            <a:stretch>
                              <a:fillRect/>
                            </a:stretch>
                          </pic:blipFill>
                          <pic:spPr>
                            <a:xfrm>
                              <a:off x="0" y="0"/>
                              <a:ext cx="587375" cy="587375"/>
                            </a:xfrm>
                            <a:prstGeom prst="rect">
                              <a:avLst/>
                            </a:prstGeom>
                          </pic:spPr>
                        </pic:pic>
                      </a:graphicData>
                    </a:graphic>
                  </wp:inline>
                </w:drawing>
              </w:r>
            </w:p>
          </w:tc>
        </w:tr>
      </w:tbl>
      <w:p w14:paraId="07050E51" w14:textId="77777777" w:rsidR="00F557B7" w:rsidRDefault="00F557B7" w:rsidP="00AC7A03">
        <w:pPr>
          <w:pStyle w:val="Footer"/>
          <w:jc w:val="right"/>
          <w:rPr>
            <w:noProof w:val="0"/>
          </w:rPr>
        </w:pPr>
      </w:p>
      <w:p w14:paraId="6802E6FB" w14:textId="77777777" w:rsidR="00F557B7" w:rsidRDefault="00F557B7" w:rsidP="00AC7A03">
        <w:pPr>
          <w:pStyle w:val="Footer"/>
          <w:jc w:val="right"/>
        </w:pPr>
        <w:r>
          <w:rPr>
            <w:noProof w:val="0"/>
          </w:rPr>
          <w:fldChar w:fldCharType="begin"/>
        </w:r>
        <w:r>
          <w:instrText xml:space="preserve"> PAGE   \* MERGEFORMAT </w:instrText>
        </w:r>
        <w:r>
          <w:rPr>
            <w:noProof w:val="0"/>
          </w:rPr>
          <w:fldChar w:fldCharType="separate"/>
        </w:r>
        <w:r w:rsidR="00B036A6">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4288E" w14:textId="77777777" w:rsidR="005C65E4" w:rsidRDefault="005C65E4" w:rsidP="00C5758B">
      <w:r>
        <w:separator/>
      </w:r>
    </w:p>
  </w:footnote>
  <w:footnote w:type="continuationSeparator" w:id="0">
    <w:p w14:paraId="24BEA105" w14:textId="77777777" w:rsidR="005C65E4" w:rsidRDefault="005C65E4" w:rsidP="00C5758B">
      <w:r>
        <w:continuationSeparator/>
      </w:r>
    </w:p>
  </w:footnote>
  <w:footnote w:id="1">
    <w:p w14:paraId="1F572691" w14:textId="5F1F3162" w:rsidR="002815E4" w:rsidRDefault="002815E4" w:rsidP="005113E8">
      <w:pPr>
        <w:pStyle w:val="FootnoteText"/>
        <w:jc w:val="both"/>
      </w:pPr>
      <w:r>
        <w:rPr>
          <w:rStyle w:val="FootnoteReference"/>
        </w:rPr>
        <w:footnoteRef/>
      </w:r>
      <w:r>
        <w:t xml:space="preserve"> </w:t>
      </w:r>
      <w:r w:rsidRPr="002815E4">
        <w:rPr>
          <w:rFonts w:ascii="Calibri" w:hAnsi="Calibri" w:cs="Calibri"/>
          <w:sz w:val="18"/>
          <w:szCs w:val="18"/>
        </w:rPr>
        <w:t>The text otherwise maintains the definition of "competitor" as an actual or potential competitor, with the only change being a proposal to drop from the definition of potential competitor the SNIP test (the likelihood of entry within 3 years in the event of a small but permanent increase in price).</w:t>
      </w:r>
      <w:r w:rsidR="005113E8">
        <w:rPr>
          <w:rFonts w:ascii="Calibri" w:hAnsi="Calibri" w:cs="Calibri"/>
          <w:sz w:val="18"/>
          <w:szCs w:val="18"/>
        </w:rPr>
        <w:t xml:space="preserve"> </w:t>
      </w:r>
      <w:r w:rsidRPr="002815E4">
        <w:rPr>
          <w:rFonts w:ascii="Calibri" w:hAnsi="Calibri" w:cs="Calibri"/>
          <w:sz w:val="18"/>
          <w:szCs w:val="18"/>
        </w:rPr>
        <w:t>This minor technocratic change does not detract from the fact that the definition of potential competition remains very broad and creates considerable uncertainty as to the applicability of the block exemption.</w:t>
      </w:r>
      <w:r w:rsidR="005113E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9EB1" w14:textId="77777777" w:rsidR="004A0609" w:rsidRDefault="004A0609">
    <w:pPr>
      <w:pStyle w:val="Header"/>
    </w:pPr>
    <w:r w:rsidRPr="0081485A">
      <w:rPr>
        <w:noProof/>
        <w:color w:val="31808B"/>
        <w:sz w:val="24"/>
        <w:lang w:eastAsia="en-GB"/>
      </w:rPr>
      <w:drawing>
        <wp:anchor distT="0" distB="0" distL="114300" distR="114300" simplePos="0" relativeHeight="251659264" behindDoc="0" locked="0" layoutInCell="1" allowOverlap="1" wp14:anchorId="39289418" wp14:editId="64C63223">
          <wp:simplePos x="0" y="0"/>
          <wp:positionH relativeFrom="margin">
            <wp:posOffset>0</wp:posOffset>
          </wp:positionH>
          <wp:positionV relativeFrom="paragraph">
            <wp:posOffset>-635</wp:posOffset>
          </wp:positionV>
          <wp:extent cx="1610360" cy="525780"/>
          <wp:effectExtent l="0" t="0" r="8890" b="7620"/>
          <wp:wrapNone/>
          <wp:docPr id="212" name="Picture 29" descr="EFPI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PIA Logo.png"/>
                  <pic:cNvPicPr/>
                </pic:nvPicPr>
                <pic:blipFill rotWithShape="1">
                  <a:blip r:embed="rId1" cstate="print"/>
                  <a:srcRect r="1515" b="43673"/>
                  <a:stretch/>
                </pic:blipFill>
                <pic:spPr bwMode="auto">
                  <a:xfrm>
                    <a:off x="0" y="0"/>
                    <a:ext cx="1610360" cy="52578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alt="star.png" style="width:9.2pt;height:9.9pt;visibility:visible" o:bullet="t">
        <v:imagedata r:id="rId1" o:title="star"/>
      </v:shape>
    </w:pict>
  </w:numPicBullet>
  <w:abstractNum w:abstractNumId="0" w15:restartNumberingAfterBreak="0">
    <w:nsid w:val="FFFFFF7D"/>
    <w:multiLevelType w:val="singleLevel"/>
    <w:tmpl w:val="53B00AF8"/>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FEB87B7A"/>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A8E26698"/>
    <w:lvl w:ilvl="0">
      <w:start w:val="1"/>
      <w:numFmt w:val="decimal"/>
      <w:lvlText w:val="%1."/>
      <w:lvlJc w:val="left"/>
      <w:pPr>
        <w:tabs>
          <w:tab w:val="num" w:pos="643"/>
        </w:tabs>
        <w:ind w:left="643" w:hanging="360"/>
      </w:pPr>
    </w:lvl>
  </w:abstractNum>
  <w:abstractNum w:abstractNumId="3" w15:restartNumberingAfterBreak="0">
    <w:nsid w:val="FFFFFF88"/>
    <w:multiLevelType w:val="singleLevel"/>
    <w:tmpl w:val="9C3C3976"/>
    <w:lvl w:ilvl="0">
      <w:start w:val="1"/>
      <w:numFmt w:val="decimal"/>
      <w:lvlText w:val="%1."/>
      <w:lvlJc w:val="left"/>
      <w:pPr>
        <w:tabs>
          <w:tab w:val="num" w:pos="360"/>
        </w:tabs>
        <w:ind w:left="360" w:hanging="360"/>
      </w:pPr>
    </w:lvl>
  </w:abstractNum>
  <w:abstractNum w:abstractNumId="4" w15:restartNumberingAfterBreak="0">
    <w:nsid w:val="03F03E5A"/>
    <w:multiLevelType w:val="hybridMultilevel"/>
    <w:tmpl w:val="7E2832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461A15"/>
    <w:multiLevelType w:val="hybridMultilevel"/>
    <w:tmpl w:val="B9707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6C1985"/>
    <w:multiLevelType w:val="multilevel"/>
    <w:tmpl w:val="D70EC034"/>
    <w:styleLink w:val="BMSchedules"/>
    <w:lvl w:ilvl="0">
      <w:start w:val="1"/>
      <w:numFmt w:val="none"/>
      <w:lvlRestart w:val="0"/>
      <w:pStyle w:val="SchH1"/>
      <w:suff w:val="nothing"/>
      <w:lvlText w:val="%1"/>
      <w:lvlJc w:val="left"/>
      <w:pPr>
        <w:ind w:left="0" w:firstLine="0"/>
      </w:pPr>
      <w:rPr>
        <w:rFonts w:hint="default"/>
      </w:rPr>
    </w:lvl>
    <w:lvl w:ilvl="1">
      <w:start w:val="1"/>
      <w:numFmt w:val="decimal"/>
      <w:pStyle w:val="SchH2"/>
      <w:lvlText w:val="%1%2."/>
      <w:lvlJc w:val="left"/>
      <w:pPr>
        <w:tabs>
          <w:tab w:val="num" w:pos="709"/>
        </w:tabs>
        <w:ind w:left="709" w:hanging="709"/>
      </w:pPr>
      <w:rPr>
        <w:rFonts w:hint="default"/>
      </w:rPr>
    </w:lvl>
    <w:lvl w:ilvl="2">
      <w:start w:val="1"/>
      <w:numFmt w:val="decimal"/>
      <w:pStyle w:val="SchH3"/>
      <w:lvlText w:val="%2.%3"/>
      <w:lvlJc w:val="left"/>
      <w:pPr>
        <w:tabs>
          <w:tab w:val="num" w:pos="709"/>
        </w:tabs>
        <w:ind w:left="709" w:hanging="709"/>
      </w:pPr>
      <w:rPr>
        <w:rFonts w:hint="default"/>
      </w:rPr>
    </w:lvl>
    <w:lvl w:ilvl="3">
      <w:start w:val="1"/>
      <w:numFmt w:val="lowerLetter"/>
      <w:pStyle w:val="SchH4"/>
      <w:lvlText w:val="(%4)"/>
      <w:lvlJc w:val="left"/>
      <w:pPr>
        <w:tabs>
          <w:tab w:val="num" w:pos="1418"/>
        </w:tabs>
        <w:ind w:left="1418" w:hanging="709"/>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15:restartNumberingAfterBreak="0">
    <w:nsid w:val="099F52AB"/>
    <w:multiLevelType w:val="multilevel"/>
    <w:tmpl w:val="D70EC034"/>
    <w:numStyleLink w:val="BMSchedules"/>
  </w:abstractNum>
  <w:abstractNum w:abstractNumId="8" w15:restartNumberingAfterBreak="0">
    <w:nsid w:val="09A76AE4"/>
    <w:multiLevelType w:val="multilevel"/>
    <w:tmpl w:val="D6A2A0A0"/>
    <w:lvl w:ilvl="0">
      <w:start w:val="1"/>
      <w:numFmt w:val="bullet"/>
      <w:lvlText w:val=""/>
      <w:lvlJc w:val="left"/>
      <w:pPr>
        <w:tabs>
          <w:tab w:val="num" w:pos="1260"/>
        </w:tabs>
        <w:ind w:left="1260" w:hanging="360"/>
      </w:pPr>
      <w:rPr>
        <w:rFonts w:ascii="Symbol" w:hAnsi="Symbol" w:hint="default"/>
        <w:sz w:val="20"/>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abstractNum w:abstractNumId="9" w15:restartNumberingAfterBreak="0">
    <w:nsid w:val="15CF54E6"/>
    <w:multiLevelType w:val="hybridMultilevel"/>
    <w:tmpl w:val="840A15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D638D0"/>
    <w:multiLevelType w:val="hybridMultilevel"/>
    <w:tmpl w:val="9E36FD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705950"/>
    <w:multiLevelType w:val="hybridMultilevel"/>
    <w:tmpl w:val="4FAC1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2926E8"/>
    <w:multiLevelType w:val="hybridMultilevel"/>
    <w:tmpl w:val="ADDA35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F1C7A27"/>
    <w:multiLevelType w:val="hybridMultilevel"/>
    <w:tmpl w:val="06924C16"/>
    <w:lvl w:ilvl="0" w:tplc="1434604E">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451C4C"/>
    <w:multiLevelType w:val="multilevel"/>
    <w:tmpl w:val="7B24B224"/>
    <w:styleLink w:val="BMHeadings"/>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decimal"/>
      <w:pStyle w:val="Heading3"/>
      <w:lvlText w:val="%2.%3"/>
      <w:lvlJc w:val="left"/>
      <w:pPr>
        <w:tabs>
          <w:tab w:val="num" w:pos="709"/>
        </w:tabs>
        <w:ind w:left="709" w:hanging="709"/>
      </w:pPr>
      <w:rPr>
        <w:rFonts w:hint="default"/>
      </w:rPr>
    </w:lvl>
    <w:lvl w:ilvl="3">
      <w:start w:val="1"/>
      <w:numFmt w:val="lowerLetter"/>
      <w:pStyle w:val="Heading4"/>
      <w:lvlText w:val="(%4)"/>
      <w:lvlJc w:val="left"/>
      <w:pPr>
        <w:tabs>
          <w:tab w:val="num" w:pos="1418"/>
        </w:tabs>
        <w:ind w:left="1418" w:hanging="709"/>
      </w:pPr>
      <w:rPr>
        <w:rFonts w:hint="default"/>
      </w:rPr>
    </w:lvl>
    <w:lvl w:ilvl="4">
      <w:start w:val="1"/>
      <w:numFmt w:val="lowerRoman"/>
      <w:pStyle w:val="Heading5"/>
      <w:lvlText w:val="(%5)"/>
      <w:lvlJc w:val="left"/>
      <w:pPr>
        <w:tabs>
          <w:tab w:val="num" w:pos="2126"/>
        </w:tabs>
        <w:ind w:left="2126" w:hanging="708"/>
      </w:pPr>
      <w:rPr>
        <w:rFonts w:hint="default"/>
      </w:rPr>
    </w:lvl>
    <w:lvl w:ilvl="5">
      <w:start w:val="1"/>
      <w:numFmt w:val="upperLetter"/>
      <w:pStyle w:val="Heading6"/>
      <w:lvlText w:val="(%6)"/>
      <w:lvlJc w:val="left"/>
      <w:pPr>
        <w:tabs>
          <w:tab w:val="num" w:pos="2835"/>
        </w:tabs>
        <w:ind w:left="2835" w:hanging="709"/>
      </w:pPr>
      <w:rPr>
        <w:rFonts w:hint="default"/>
      </w:rPr>
    </w:lvl>
    <w:lvl w:ilvl="6">
      <w:start w:val="1"/>
      <w:numFmt w:val="decimal"/>
      <w:pStyle w:val="Heading7"/>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40622118"/>
    <w:multiLevelType w:val="multilevel"/>
    <w:tmpl w:val="F492126A"/>
    <w:styleLink w:val="BMListNumbers"/>
    <w:lvl w:ilvl="0">
      <w:start w:val="1"/>
      <w:numFmt w:val="decimal"/>
      <w:pStyle w:val="ListNumber"/>
      <w:lvlText w:val="%1."/>
      <w:lvlJc w:val="left"/>
      <w:pPr>
        <w:tabs>
          <w:tab w:val="num" w:pos="709"/>
        </w:tabs>
        <w:ind w:left="709" w:hanging="709"/>
      </w:pPr>
      <w:rPr>
        <w:rFonts w:hint="default"/>
      </w:rPr>
    </w:lvl>
    <w:lvl w:ilvl="1">
      <w:start w:val="1"/>
      <w:numFmt w:val="lowerLetter"/>
      <w:lvlRestart w:val="0"/>
      <w:pStyle w:val="ListNumber2"/>
      <w:lvlText w:val="(%2)"/>
      <w:lvlJc w:val="left"/>
      <w:pPr>
        <w:tabs>
          <w:tab w:val="num" w:pos="1418"/>
        </w:tabs>
        <w:ind w:left="1418" w:hanging="709"/>
      </w:pPr>
      <w:rPr>
        <w:rFonts w:hint="default"/>
      </w:rPr>
    </w:lvl>
    <w:lvl w:ilvl="2">
      <w:start w:val="1"/>
      <w:numFmt w:val="lowerRoman"/>
      <w:lvlRestart w:val="0"/>
      <w:pStyle w:val="ListNumber3"/>
      <w:lvlText w:val="(%3)"/>
      <w:lvlJc w:val="left"/>
      <w:pPr>
        <w:tabs>
          <w:tab w:val="num" w:pos="2126"/>
        </w:tabs>
        <w:ind w:left="2126" w:hanging="708"/>
      </w:pPr>
      <w:rPr>
        <w:rFonts w:hint="default"/>
      </w:rPr>
    </w:lvl>
    <w:lvl w:ilvl="3">
      <w:start w:val="1"/>
      <w:numFmt w:val="upperLetter"/>
      <w:lvlRestart w:val="0"/>
      <w:pStyle w:val="ListNumber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7" w15:restartNumberingAfterBreak="0">
    <w:nsid w:val="48FC3910"/>
    <w:multiLevelType w:val="multilevel"/>
    <w:tmpl w:val="7B24B224"/>
    <w:numStyleLink w:val="BMHeadings"/>
  </w:abstractNum>
  <w:abstractNum w:abstractNumId="18" w15:restartNumberingAfterBreak="0">
    <w:nsid w:val="49D47D5B"/>
    <w:multiLevelType w:val="hybridMultilevel"/>
    <w:tmpl w:val="E50C8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5866E9"/>
    <w:multiLevelType w:val="hybridMultilevel"/>
    <w:tmpl w:val="9C96A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2B74E7"/>
    <w:multiLevelType w:val="hybridMultilevel"/>
    <w:tmpl w:val="291EC8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17C537A"/>
    <w:multiLevelType w:val="multilevel"/>
    <w:tmpl w:val="F81835CC"/>
    <w:styleLink w:val="BMDefinitions"/>
    <w:lvl w:ilvl="0">
      <w:start w:val="1"/>
      <w:numFmt w:val="none"/>
      <w:pStyle w:val="DefinitionParagraph"/>
      <w:suff w:val="nothing"/>
      <w:lvlText w:val=""/>
      <w:lvlJc w:val="left"/>
      <w:pPr>
        <w:ind w:left="709" w:firstLine="0"/>
      </w:pPr>
      <w:rPr>
        <w:rFonts w:hint="default"/>
      </w:rPr>
    </w:lvl>
    <w:lvl w:ilvl="1">
      <w:start w:val="1"/>
      <w:numFmt w:val="lowerLetter"/>
      <w:lvlText w:val="(%2)"/>
      <w:lvlJc w:val="left"/>
      <w:pPr>
        <w:tabs>
          <w:tab w:val="num" w:pos="1418"/>
        </w:tabs>
        <w:ind w:left="1418" w:hanging="709"/>
      </w:pPr>
      <w:rPr>
        <w:rFonts w:hint="default"/>
      </w:rPr>
    </w:lvl>
    <w:lvl w:ilvl="2">
      <w:start w:val="1"/>
      <w:numFmt w:val="lowerRoman"/>
      <w:lvlText w:val="(%3)"/>
      <w:lvlJc w:val="left"/>
      <w:pPr>
        <w:tabs>
          <w:tab w:val="num" w:pos="2126"/>
        </w:tabs>
        <w:ind w:left="2126" w:hanging="708"/>
      </w:pPr>
      <w:rPr>
        <w:rFonts w:hint="default"/>
      </w:rPr>
    </w:lvl>
    <w:lvl w:ilvl="3">
      <w:start w:val="1"/>
      <w:numFmt w:val="upperLetter"/>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5D3867F6"/>
    <w:multiLevelType w:val="hybridMultilevel"/>
    <w:tmpl w:val="1BCEEF14"/>
    <w:lvl w:ilvl="0" w:tplc="72441892">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DF0D48"/>
    <w:multiLevelType w:val="hybridMultilevel"/>
    <w:tmpl w:val="50320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F3669A"/>
    <w:multiLevelType w:val="hybridMultilevel"/>
    <w:tmpl w:val="BCD60D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FBD0437"/>
    <w:multiLevelType w:val="hybridMultilevel"/>
    <w:tmpl w:val="E8A0068C"/>
    <w:lvl w:ilvl="0" w:tplc="9ECCA894">
      <w:start w:val="1"/>
      <w:numFmt w:val="bullet"/>
      <w:lvlText w:val=""/>
      <w:lvlPicBulletId w:val="0"/>
      <w:lvlJc w:val="left"/>
      <w:pPr>
        <w:ind w:left="1440" w:hanging="360"/>
      </w:pPr>
      <w:rPr>
        <w:rFonts w:ascii="Symbol" w:hAnsi="Symbol" w:hint="default"/>
        <w:sz w:val="28"/>
        <w:szCs w:val="28"/>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D626427"/>
    <w:multiLevelType w:val="hybridMultilevel"/>
    <w:tmpl w:val="D610A7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4"/>
  </w:num>
  <w:num w:numId="3">
    <w:abstractNumId w:val="21"/>
  </w:num>
  <w:num w:numId="4">
    <w:abstractNumId w:val="15"/>
  </w:num>
  <w:num w:numId="5">
    <w:abstractNumId w:val="16"/>
  </w:num>
  <w:num w:numId="6">
    <w:abstractNumId w:val="6"/>
  </w:num>
  <w:num w:numId="7">
    <w:abstractNumId w:val="21"/>
  </w:num>
  <w:num w:numId="8">
    <w:abstractNumId w:val="13"/>
  </w:num>
  <w:num w:numId="9">
    <w:abstractNumId w:val="7"/>
  </w:num>
  <w:num w:numId="10">
    <w:abstractNumId w:val="7"/>
  </w:num>
  <w:num w:numId="11">
    <w:abstractNumId w:val="7"/>
  </w:num>
  <w:num w:numId="12">
    <w:abstractNumId w:val="7"/>
  </w:num>
  <w:num w:numId="13">
    <w:abstractNumId w:val="7"/>
  </w:num>
  <w:num w:numId="14">
    <w:abstractNumId w:val="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3"/>
  </w:num>
  <w:num w:numId="23">
    <w:abstractNumId w:val="16"/>
  </w:num>
  <w:num w:numId="24">
    <w:abstractNumId w:val="2"/>
  </w:num>
  <w:num w:numId="25">
    <w:abstractNumId w:val="16"/>
  </w:num>
  <w:num w:numId="26">
    <w:abstractNumId w:val="1"/>
  </w:num>
  <w:num w:numId="27">
    <w:abstractNumId w:val="16"/>
  </w:num>
  <w:num w:numId="28">
    <w:abstractNumId w:val="0"/>
  </w:num>
  <w:num w:numId="29">
    <w:abstractNumId w:val="16"/>
  </w:num>
  <w:num w:numId="30">
    <w:abstractNumId w:val="25"/>
  </w:num>
  <w:num w:numId="31">
    <w:abstractNumId w:val="8"/>
  </w:num>
  <w:num w:numId="32">
    <w:abstractNumId w:val="23"/>
  </w:num>
  <w:num w:numId="33">
    <w:abstractNumId w:val="5"/>
  </w:num>
  <w:num w:numId="34">
    <w:abstractNumId w:val="20"/>
  </w:num>
  <w:num w:numId="35">
    <w:abstractNumId w:val="10"/>
  </w:num>
  <w:num w:numId="36">
    <w:abstractNumId w:val="24"/>
  </w:num>
  <w:num w:numId="37">
    <w:abstractNumId w:val="4"/>
  </w:num>
  <w:num w:numId="38">
    <w:abstractNumId w:val="18"/>
  </w:num>
  <w:num w:numId="39">
    <w:abstractNumId w:val="9"/>
  </w:num>
  <w:num w:numId="40">
    <w:abstractNumId w:val="11"/>
  </w:num>
  <w:num w:numId="41">
    <w:abstractNumId w:val="26"/>
  </w:num>
  <w:num w:numId="42">
    <w:abstractNumId w:val="19"/>
  </w:num>
  <w:num w:numId="43">
    <w:abstractNumId w:val="12"/>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Reference" w:val="407665766-v1\EMEA_DMS"/>
    <w:docVar w:name="OfficeIni" w:val="Brussels - ENGLISH.ini"/>
  </w:docVars>
  <w:rsids>
    <w:rsidRoot w:val="00573677"/>
    <w:rsid w:val="00003805"/>
    <w:rsid w:val="00004008"/>
    <w:rsid w:val="000043CC"/>
    <w:rsid w:val="00004777"/>
    <w:rsid w:val="00004F0F"/>
    <w:rsid w:val="00005143"/>
    <w:rsid w:val="0000568A"/>
    <w:rsid w:val="000056E0"/>
    <w:rsid w:val="00005E28"/>
    <w:rsid w:val="00007012"/>
    <w:rsid w:val="0000779B"/>
    <w:rsid w:val="00010359"/>
    <w:rsid w:val="0001190E"/>
    <w:rsid w:val="000127C3"/>
    <w:rsid w:val="00012B9F"/>
    <w:rsid w:val="00013BD2"/>
    <w:rsid w:val="000146E0"/>
    <w:rsid w:val="00015F8F"/>
    <w:rsid w:val="00016805"/>
    <w:rsid w:val="00017A8A"/>
    <w:rsid w:val="00017BF1"/>
    <w:rsid w:val="00017C23"/>
    <w:rsid w:val="0002009E"/>
    <w:rsid w:val="000201DC"/>
    <w:rsid w:val="00020760"/>
    <w:rsid w:val="000207B5"/>
    <w:rsid w:val="00021662"/>
    <w:rsid w:val="000218EE"/>
    <w:rsid w:val="00021CD6"/>
    <w:rsid w:val="00021EA1"/>
    <w:rsid w:val="00021FF1"/>
    <w:rsid w:val="00023516"/>
    <w:rsid w:val="00023564"/>
    <w:rsid w:val="00023EAB"/>
    <w:rsid w:val="00024186"/>
    <w:rsid w:val="000249C6"/>
    <w:rsid w:val="000253A4"/>
    <w:rsid w:val="00025BD2"/>
    <w:rsid w:val="00025E4D"/>
    <w:rsid w:val="000260FE"/>
    <w:rsid w:val="00026D71"/>
    <w:rsid w:val="0002706C"/>
    <w:rsid w:val="000310CE"/>
    <w:rsid w:val="000311A8"/>
    <w:rsid w:val="000311EF"/>
    <w:rsid w:val="000326FB"/>
    <w:rsid w:val="00033104"/>
    <w:rsid w:val="0003415A"/>
    <w:rsid w:val="0003527B"/>
    <w:rsid w:val="000360BB"/>
    <w:rsid w:val="00036176"/>
    <w:rsid w:val="00037BB0"/>
    <w:rsid w:val="00037C8F"/>
    <w:rsid w:val="0004137B"/>
    <w:rsid w:val="00041723"/>
    <w:rsid w:val="00041FFA"/>
    <w:rsid w:val="00044ECE"/>
    <w:rsid w:val="00045692"/>
    <w:rsid w:val="00045F06"/>
    <w:rsid w:val="0004646A"/>
    <w:rsid w:val="000475A4"/>
    <w:rsid w:val="00047DC0"/>
    <w:rsid w:val="00050C9B"/>
    <w:rsid w:val="000514A2"/>
    <w:rsid w:val="0005236E"/>
    <w:rsid w:val="00052406"/>
    <w:rsid w:val="000528A0"/>
    <w:rsid w:val="000528F9"/>
    <w:rsid w:val="00052B5E"/>
    <w:rsid w:val="00053072"/>
    <w:rsid w:val="0005336E"/>
    <w:rsid w:val="00053A43"/>
    <w:rsid w:val="00056435"/>
    <w:rsid w:val="00060430"/>
    <w:rsid w:val="000608B1"/>
    <w:rsid w:val="00060D2E"/>
    <w:rsid w:val="0006102E"/>
    <w:rsid w:val="00061673"/>
    <w:rsid w:val="000619EB"/>
    <w:rsid w:val="00062262"/>
    <w:rsid w:val="000628BC"/>
    <w:rsid w:val="00062E67"/>
    <w:rsid w:val="000630BE"/>
    <w:rsid w:val="00064814"/>
    <w:rsid w:val="00064D31"/>
    <w:rsid w:val="00065290"/>
    <w:rsid w:val="0006537A"/>
    <w:rsid w:val="000653B8"/>
    <w:rsid w:val="00065B0F"/>
    <w:rsid w:val="00066CBF"/>
    <w:rsid w:val="000675D9"/>
    <w:rsid w:val="00070538"/>
    <w:rsid w:val="00071CD1"/>
    <w:rsid w:val="00072AC8"/>
    <w:rsid w:val="00072E22"/>
    <w:rsid w:val="00073F9B"/>
    <w:rsid w:val="00074662"/>
    <w:rsid w:val="00074AAD"/>
    <w:rsid w:val="0007526E"/>
    <w:rsid w:val="000771B8"/>
    <w:rsid w:val="00077F07"/>
    <w:rsid w:val="000802C0"/>
    <w:rsid w:val="0008036D"/>
    <w:rsid w:val="00080AF9"/>
    <w:rsid w:val="00081F2F"/>
    <w:rsid w:val="0008348D"/>
    <w:rsid w:val="00083D5B"/>
    <w:rsid w:val="000840E3"/>
    <w:rsid w:val="000878FD"/>
    <w:rsid w:val="00090B50"/>
    <w:rsid w:val="000913BA"/>
    <w:rsid w:val="00091616"/>
    <w:rsid w:val="0009167F"/>
    <w:rsid w:val="000927CA"/>
    <w:rsid w:val="00092D33"/>
    <w:rsid w:val="00092F8D"/>
    <w:rsid w:val="00093346"/>
    <w:rsid w:val="000934FB"/>
    <w:rsid w:val="00095412"/>
    <w:rsid w:val="0009596A"/>
    <w:rsid w:val="00095E8A"/>
    <w:rsid w:val="00096271"/>
    <w:rsid w:val="0009756E"/>
    <w:rsid w:val="00097D02"/>
    <w:rsid w:val="000A0C35"/>
    <w:rsid w:val="000A1323"/>
    <w:rsid w:val="000A159F"/>
    <w:rsid w:val="000A16F1"/>
    <w:rsid w:val="000A2067"/>
    <w:rsid w:val="000A45A0"/>
    <w:rsid w:val="000A47E4"/>
    <w:rsid w:val="000A4CF6"/>
    <w:rsid w:val="000A63BE"/>
    <w:rsid w:val="000A65C9"/>
    <w:rsid w:val="000A663E"/>
    <w:rsid w:val="000B042D"/>
    <w:rsid w:val="000B1235"/>
    <w:rsid w:val="000B2432"/>
    <w:rsid w:val="000B2846"/>
    <w:rsid w:val="000B3797"/>
    <w:rsid w:val="000B41A2"/>
    <w:rsid w:val="000B487E"/>
    <w:rsid w:val="000B51AB"/>
    <w:rsid w:val="000B63E7"/>
    <w:rsid w:val="000C09F4"/>
    <w:rsid w:val="000C0B8F"/>
    <w:rsid w:val="000C144E"/>
    <w:rsid w:val="000C17F5"/>
    <w:rsid w:val="000C3E05"/>
    <w:rsid w:val="000C79AF"/>
    <w:rsid w:val="000D092C"/>
    <w:rsid w:val="000D09A5"/>
    <w:rsid w:val="000D12C8"/>
    <w:rsid w:val="000D1F43"/>
    <w:rsid w:val="000D20C9"/>
    <w:rsid w:val="000D27C2"/>
    <w:rsid w:val="000D30AA"/>
    <w:rsid w:val="000D3312"/>
    <w:rsid w:val="000D334B"/>
    <w:rsid w:val="000D346D"/>
    <w:rsid w:val="000D36DC"/>
    <w:rsid w:val="000D4B1C"/>
    <w:rsid w:val="000D4F9E"/>
    <w:rsid w:val="000D5E98"/>
    <w:rsid w:val="000D6389"/>
    <w:rsid w:val="000D6554"/>
    <w:rsid w:val="000D700A"/>
    <w:rsid w:val="000E00C8"/>
    <w:rsid w:val="000E0825"/>
    <w:rsid w:val="000E088A"/>
    <w:rsid w:val="000E21B2"/>
    <w:rsid w:val="000E2D2D"/>
    <w:rsid w:val="000E4CF5"/>
    <w:rsid w:val="000E580D"/>
    <w:rsid w:val="000E6E3E"/>
    <w:rsid w:val="000E7C99"/>
    <w:rsid w:val="000F02CF"/>
    <w:rsid w:val="000F176E"/>
    <w:rsid w:val="000F2148"/>
    <w:rsid w:val="000F328D"/>
    <w:rsid w:val="000F3A59"/>
    <w:rsid w:val="000F4803"/>
    <w:rsid w:val="000F4D12"/>
    <w:rsid w:val="000F4F0B"/>
    <w:rsid w:val="000F574B"/>
    <w:rsid w:val="001017E8"/>
    <w:rsid w:val="00101E81"/>
    <w:rsid w:val="00102F6A"/>
    <w:rsid w:val="0010330A"/>
    <w:rsid w:val="00104436"/>
    <w:rsid w:val="00104518"/>
    <w:rsid w:val="001046C5"/>
    <w:rsid w:val="00104F11"/>
    <w:rsid w:val="00105020"/>
    <w:rsid w:val="0010529F"/>
    <w:rsid w:val="001052E1"/>
    <w:rsid w:val="001073EB"/>
    <w:rsid w:val="00107DF1"/>
    <w:rsid w:val="00111ADC"/>
    <w:rsid w:val="00111BEC"/>
    <w:rsid w:val="0011286B"/>
    <w:rsid w:val="0011386C"/>
    <w:rsid w:val="00114507"/>
    <w:rsid w:val="00114699"/>
    <w:rsid w:val="00114BD8"/>
    <w:rsid w:val="0011549A"/>
    <w:rsid w:val="001158C4"/>
    <w:rsid w:val="00115A1C"/>
    <w:rsid w:val="00115CE3"/>
    <w:rsid w:val="00117107"/>
    <w:rsid w:val="001202A6"/>
    <w:rsid w:val="0012046E"/>
    <w:rsid w:val="00120D62"/>
    <w:rsid w:val="00121AD0"/>
    <w:rsid w:val="0012257D"/>
    <w:rsid w:val="001249D3"/>
    <w:rsid w:val="0012687E"/>
    <w:rsid w:val="00126BA9"/>
    <w:rsid w:val="00126E2B"/>
    <w:rsid w:val="00126EBA"/>
    <w:rsid w:val="0012730B"/>
    <w:rsid w:val="00127B0F"/>
    <w:rsid w:val="001301E6"/>
    <w:rsid w:val="00130F66"/>
    <w:rsid w:val="00130FF5"/>
    <w:rsid w:val="0013148C"/>
    <w:rsid w:val="00131771"/>
    <w:rsid w:val="001317A1"/>
    <w:rsid w:val="00131CB9"/>
    <w:rsid w:val="00133619"/>
    <w:rsid w:val="001336DE"/>
    <w:rsid w:val="0013436E"/>
    <w:rsid w:val="00136286"/>
    <w:rsid w:val="00136691"/>
    <w:rsid w:val="0013670F"/>
    <w:rsid w:val="001373DA"/>
    <w:rsid w:val="001412DF"/>
    <w:rsid w:val="00141785"/>
    <w:rsid w:val="00142B3E"/>
    <w:rsid w:val="00142B7C"/>
    <w:rsid w:val="00143B8C"/>
    <w:rsid w:val="00144BDA"/>
    <w:rsid w:val="001450B6"/>
    <w:rsid w:val="00145F21"/>
    <w:rsid w:val="00146501"/>
    <w:rsid w:val="00146712"/>
    <w:rsid w:val="00146B6F"/>
    <w:rsid w:val="00147612"/>
    <w:rsid w:val="0014775A"/>
    <w:rsid w:val="0015048E"/>
    <w:rsid w:val="00150657"/>
    <w:rsid w:val="0015066A"/>
    <w:rsid w:val="00150B14"/>
    <w:rsid w:val="00152209"/>
    <w:rsid w:val="001522BA"/>
    <w:rsid w:val="001527B1"/>
    <w:rsid w:val="00153500"/>
    <w:rsid w:val="00154B1C"/>
    <w:rsid w:val="00155869"/>
    <w:rsid w:val="00155A97"/>
    <w:rsid w:val="0015670D"/>
    <w:rsid w:val="001607B7"/>
    <w:rsid w:val="001620F4"/>
    <w:rsid w:val="00163931"/>
    <w:rsid w:val="00163EF7"/>
    <w:rsid w:val="00163F59"/>
    <w:rsid w:val="00166DDC"/>
    <w:rsid w:val="001678EE"/>
    <w:rsid w:val="00167DB9"/>
    <w:rsid w:val="001700D5"/>
    <w:rsid w:val="00170BEB"/>
    <w:rsid w:val="00171317"/>
    <w:rsid w:val="00171DA3"/>
    <w:rsid w:val="001723D8"/>
    <w:rsid w:val="00172DEC"/>
    <w:rsid w:val="00173863"/>
    <w:rsid w:val="00174322"/>
    <w:rsid w:val="001749DD"/>
    <w:rsid w:val="00176440"/>
    <w:rsid w:val="00176ABA"/>
    <w:rsid w:val="001823E7"/>
    <w:rsid w:val="00182C25"/>
    <w:rsid w:val="0018371E"/>
    <w:rsid w:val="00183B34"/>
    <w:rsid w:val="00183F7E"/>
    <w:rsid w:val="00184681"/>
    <w:rsid w:val="00184880"/>
    <w:rsid w:val="00184D86"/>
    <w:rsid w:val="00184E67"/>
    <w:rsid w:val="001850A8"/>
    <w:rsid w:val="001856D7"/>
    <w:rsid w:val="00186682"/>
    <w:rsid w:val="00190096"/>
    <w:rsid w:val="0019071F"/>
    <w:rsid w:val="00191ACD"/>
    <w:rsid w:val="00191F40"/>
    <w:rsid w:val="001927FC"/>
    <w:rsid w:val="00192885"/>
    <w:rsid w:val="00195142"/>
    <w:rsid w:val="0019550C"/>
    <w:rsid w:val="00195E15"/>
    <w:rsid w:val="00196124"/>
    <w:rsid w:val="00196F4A"/>
    <w:rsid w:val="001977EA"/>
    <w:rsid w:val="001A0312"/>
    <w:rsid w:val="001A036E"/>
    <w:rsid w:val="001A18B0"/>
    <w:rsid w:val="001A1AEB"/>
    <w:rsid w:val="001A20C6"/>
    <w:rsid w:val="001A2725"/>
    <w:rsid w:val="001A2879"/>
    <w:rsid w:val="001A38C6"/>
    <w:rsid w:val="001A3D8B"/>
    <w:rsid w:val="001A3FC1"/>
    <w:rsid w:val="001A4D0B"/>
    <w:rsid w:val="001A59AF"/>
    <w:rsid w:val="001A5FCA"/>
    <w:rsid w:val="001A6E02"/>
    <w:rsid w:val="001A74BB"/>
    <w:rsid w:val="001A7BD0"/>
    <w:rsid w:val="001B07C1"/>
    <w:rsid w:val="001B10AC"/>
    <w:rsid w:val="001B12D1"/>
    <w:rsid w:val="001B1AE4"/>
    <w:rsid w:val="001B1CA9"/>
    <w:rsid w:val="001B35FF"/>
    <w:rsid w:val="001B3A62"/>
    <w:rsid w:val="001B3C68"/>
    <w:rsid w:val="001B4CE5"/>
    <w:rsid w:val="001B4E57"/>
    <w:rsid w:val="001B5EDA"/>
    <w:rsid w:val="001B6F99"/>
    <w:rsid w:val="001B765A"/>
    <w:rsid w:val="001C1AC9"/>
    <w:rsid w:val="001C1BD4"/>
    <w:rsid w:val="001C2120"/>
    <w:rsid w:val="001C37A2"/>
    <w:rsid w:val="001C4310"/>
    <w:rsid w:val="001C4D0B"/>
    <w:rsid w:val="001C4E84"/>
    <w:rsid w:val="001C6079"/>
    <w:rsid w:val="001C60D1"/>
    <w:rsid w:val="001C6448"/>
    <w:rsid w:val="001C6DDC"/>
    <w:rsid w:val="001C73D1"/>
    <w:rsid w:val="001C7813"/>
    <w:rsid w:val="001D075A"/>
    <w:rsid w:val="001D0AA7"/>
    <w:rsid w:val="001D0E35"/>
    <w:rsid w:val="001D19E1"/>
    <w:rsid w:val="001D4073"/>
    <w:rsid w:val="001D71C1"/>
    <w:rsid w:val="001D7338"/>
    <w:rsid w:val="001E12B0"/>
    <w:rsid w:val="001E1A66"/>
    <w:rsid w:val="001E2172"/>
    <w:rsid w:val="001E3CF8"/>
    <w:rsid w:val="001E436F"/>
    <w:rsid w:val="001E59F7"/>
    <w:rsid w:val="001E6F82"/>
    <w:rsid w:val="001E713E"/>
    <w:rsid w:val="001F119D"/>
    <w:rsid w:val="001F211C"/>
    <w:rsid w:val="001F4ABC"/>
    <w:rsid w:val="001F501D"/>
    <w:rsid w:val="001F6912"/>
    <w:rsid w:val="001F7097"/>
    <w:rsid w:val="001F72E9"/>
    <w:rsid w:val="001F7800"/>
    <w:rsid w:val="001F7830"/>
    <w:rsid w:val="002008B0"/>
    <w:rsid w:val="002011AC"/>
    <w:rsid w:val="0020153E"/>
    <w:rsid w:val="0020186C"/>
    <w:rsid w:val="0020241C"/>
    <w:rsid w:val="00202442"/>
    <w:rsid w:val="00202D23"/>
    <w:rsid w:val="0020491E"/>
    <w:rsid w:val="002063A4"/>
    <w:rsid w:val="002100B8"/>
    <w:rsid w:val="00210201"/>
    <w:rsid w:val="002109CB"/>
    <w:rsid w:val="00210FC2"/>
    <w:rsid w:val="00211719"/>
    <w:rsid w:val="00211AA5"/>
    <w:rsid w:val="002126B0"/>
    <w:rsid w:val="0021284A"/>
    <w:rsid w:val="00212D30"/>
    <w:rsid w:val="0021332E"/>
    <w:rsid w:val="002164F7"/>
    <w:rsid w:val="00217390"/>
    <w:rsid w:val="002211BC"/>
    <w:rsid w:val="00221E1D"/>
    <w:rsid w:val="00222006"/>
    <w:rsid w:val="00222226"/>
    <w:rsid w:val="0022369F"/>
    <w:rsid w:val="0022457D"/>
    <w:rsid w:val="00224765"/>
    <w:rsid w:val="00225523"/>
    <w:rsid w:val="00225E80"/>
    <w:rsid w:val="00226206"/>
    <w:rsid w:val="002268BB"/>
    <w:rsid w:val="002272D5"/>
    <w:rsid w:val="00227C3B"/>
    <w:rsid w:val="0023169C"/>
    <w:rsid w:val="00231F75"/>
    <w:rsid w:val="0023390A"/>
    <w:rsid w:val="002346BD"/>
    <w:rsid w:val="00234C6A"/>
    <w:rsid w:val="002351F1"/>
    <w:rsid w:val="00235A3D"/>
    <w:rsid w:val="00236144"/>
    <w:rsid w:val="002377F8"/>
    <w:rsid w:val="00237C03"/>
    <w:rsid w:val="002403B3"/>
    <w:rsid w:val="00240673"/>
    <w:rsid w:val="00240E9B"/>
    <w:rsid w:val="00240F0B"/>
    <w:rsid w:val="00241EB3"/>
    <w:rsid w:val="00242DF5"/>
    <w:rsid w:val="002444CE"/>
    <w:rsid w:val="00244ADB"/>
    <w:rsid w:val="00245030"/>
    <w:rsid w:val="002458FF"/>
    <w:rsid w:val="002459ED"/>
    <w:rsid w:val="00245B2A"/>
    <w:rsid w:val="00245D28"/>
    <w:rsid w:val="00245FB0"/>
    <w:rsid w:val="00246C73"/>
    <w:rsid w:val="002476D9"/>
    <w:rsid w:val="00247ABE"/>
    <w:rsid w:val="00247BD9"/>
    <w:rsid w:val="00247DE0"/>
    <w:rsid w:val="0025054A"/>
    <w:rsid w:val="00250ABF"/>
    <w:rsid w:val="00252111"/>
    <w:rsid w:val="0025243F"/>
    <w:rsid w:val="00252C1E"/>
    <w:rsid w:val="00252F62"/>
    <w:rsid w:val="002546D3"/>
    <w:rsid w:val="00254A71"/>
    <w:rsid w:val="00255C63"/>
    <w:rsid w:val="00255C7D"/>
    <w:rsid w:val="00256730"/>
    <w:rsid w:val="00256B01"/>
    <w:rsid w:val="00257660"/>
    <w:rsid w:val="002610E0"/>
    <w:rsid w:val="00261202"/>
    <w:rsid w:val="00261B79"/>
    <w:rsid w:val="002621F0"/>
    <w:rsid w:val="002628E9"/>
    <w:rsid w:val="00263B61"/>
    <w:rsid w:val="00263CAE"/>
    <w:rsid w:val="002642D2"/>
    <w:rsid w:val="002645B6"/>
    <w:rsid w:val="002647EA"/>
    <w:rsid w:val="00264ACD"/>
    <w:rsid w:val="00265D9A"/>
    <w:rsid w:val="00266145"/>
    <w:rsid w:val="002700A1"/>
    <w:rsid w:val="00270966"/>
    <w:rsid w:val="00271059"/>
    <w:rsid w:val="00271DBB"/>
    <w:rsid w:val="0027319B"/>
    <w:rsid w:val="00273617"/>
    <w:rsid w:val="00273AEA"/>
    <w:rsid w:val="0027410E"/>
    <w:rsid w:val="0027540E"/>
    <w:rsid w:val="00275584"/>
    <w:rsid w:val="00275D2B"/>
    <w:rsid w:val="002769B8"/>
    <w:rsid w:val="002770B7"/>
    <w:rsid w:val="0027732A"/>
    <w:rsid w:val="00277D1E"/>
    <w:rsid w:val="0028055E"/>
    <w:rsid w:val="00280778"/>
    <w:rsid w:val="00280B24"/>
    <w:rsid w:val="002815E4"/>
    <w:rsid w:val="00281791"/>
    <w:rsid w:val="00281A1D"/>
    <w:rsid w:val="00282200"/>
    <w:rsid w:val="00282356"/>
    <w:rsid w:val="0028472B"/>
    <w:rsid w:val="002853AB"/>
    <w:rsid w:val="00286B92"/>
    <w:rsid w:val="00286D42"/>
    <w:rsid w:val="00290FF0"/>
    <w:rsid w:val="00291380"/>
    <w:rsid w:val="0029185D"/>
    <w:rsid w:val="00291908"/>
    <w:rsid w:val="00291D53"/>
    <w:rsid w:val="0029243B"/>
    <w:rsid w:val="00292CAF"/>
    <w:rsid w:val="00293071"/>
    <w:rsid w:val="00293D60"/>
    <w:rsid w:val="0029545A"/>
    <w:rsid w:val="00295A58"/>
    <w:rsid w:val="002962C8"/>
    <w:rsid w:val="002970C0"/>
    <w:rsid w:val="002A1301"/>
    <w:rsid w:val="002A19B9"/>
    <w:rsid w:val="002A380C"/>
    <w:rsid w:val="002A457A"/>
    <w:rsid w:val="002A4603"/>
    <w:rsid w:val="002A4817"/>
    <w:rsid w:val="002A601E"/>
    <w:rsid w:val="002A62BC"/>
    <w:rsid w:val="002A78FD"/>
    <w:rsid w:val="002B0A5D"/>
    <w:rsid w:val="002B1852"/>
    <w:rsid w:val="002B19D6"/>
    <w:rsid w:val="002B1C0F"/>
    <w:rsid w:val="002B1D14"/>
    <w:rsid w:val="002B28AF"/>
    <w:rsid w:val="002B38DC"/>
    <w:rsid w:val="002B47B0"/>
    <w:rsid w:val="002B51A1"/>
    <w:rsid w:val="002B5300"/>
    <w:rsid w:val="002B532B"/>
    <w:rsid w:val="002B5965"/>
    <w:rsid w:val="002B617C"/>
    <w:rsid w:val="002B662C"/>
    <w:rsid w:val="002B6ACF"/>
    <w:rsid w:val="002B7BBD"/>
    <w:rsid w:val="002C0CA0"/>
    <w:rsid w:val="002C2726"/>
    <w:rsid w:val="002C2DDC"/>
    <w:rsid w:val="002C318F"/>
    <w:rsid w:val="002C36F2"/>
    <w:rsid w:val="002C3A30"/>
    <w:rsid w:val="002C4EF7"/>
    <w:rsid w:val="002C687F"/>
    <w:rsid w:val="002C6B25"/>
    <w:rsid w:val="002C7266"/>
    <w:rsid w:val="002C779A"/>
    <w:rsid w:val="002D086F"/>
    <w:rsid w:val="002D2768"/>
    <w:rsid w:val="002D4622"/>
    <w:rsid w:val="002D4E25"/>
    <w:rsid w:val="002D596D"/>
    <w:rsid w:val="002D6F49"/>
    <w:rsid w:val="002E05D2"/>
    <w:rsid w:val="002E0603"/>
    <w:rsid w:val="002E0F23"/>
    <w:rsid w:val="002E2802"/>
    <w:rsid w:val="002E354A"/>
    <w:rsid w:val="002E4F6A"/>
    <w:rsid w:val="002E5374"/>
    <w:rsid w:val="002E5915"/>
    <w:rsid w:val="002E5A19"/>
    <w:rsid w:val="002E63DC"/>
    <w:rsid w:val="002E792F"/>
    <w:rsid w:val="002E7A20"/>
    <w:rsid w:val="002F0D5C"/>
    <w:rsid w:val="002F4A85"/>
    <w:rsid w:val="002F4E0B"/>
    <w:rsid w:val="002F58AB"/>
    <w:rsid w:val="002F5C4C"/>
    <w:rsid w:val="002F5C56"/>
    <w:rsid w:val="002F6D1F"/>
    <w:rsid w:val="002F7F91"/>
    <w:rsid w:val="00301112"/>
    <w:rsid w:val="00302C47"/>
    <w:rsid w:val="0030342A"/>
    <w:rsid w:val="0030424A"/>
    <w:rsid w:val="00304294"/>
    <w:rsid w:val="0030629E"/>
    <w:rsid w:val="003069C1"/>
    <w:rsid w:val="00306A57"/>
    <w:rsid w:val="00306AC8"/>
    <w:rsid w:val="00306E68"/>
    <w:rsid w:val="0030713E"/>
    <w:rsid w:val="003104B7"/>
    <w:rsid w:val="003108ED"/>
    <w:rsid w:val="00311817"/>
    <w:rsid w:val="00311C91"/>
    <w:rsid w:val="00312062"/>
    <w:rsid w:val="00312E37"/>
    <w:rsid w:val="00313307"/>
    <w:rsid w:val="00313B43"/>
    <w:rsid w:val="00314272"/>
    <w:rsid w:val="00315269"/>
    <w:rsid w:val="00315487"/>
    <w:rsid w:val="003157AE"/>
    <w:rsid w:val="00316A6F"/>
    <w:rsid w:val="00316EC8"/>
    <w:rsid w:val="0031707F"/>
    <w:rsid w:val="00317D3D"/>
    <w:rsid w:val="00320D07"/>
    <w:rsid w:val="00320D7C"/>
    <w:rsid w:val="00320EC1"/>
    <w:rsid w:val="0032140F"/>
    <w:rsid w:val="00321CC3"/>
    <w:rsid w:val="00322558"/>
    <w:rsid w:val="00322F93"/>
    <w:rsid w:val="00322FC7"/>
    <w:rsid w:val="003245A4"/>
    <w:rsid w:val="00324EB8"/>
    <w:rsid w:val="00325021"/>
    <w:rsid w:val="0032526F"/>
    <w:rsid w:val="00325283"/>
    <w:rsid w:val="003259C2"/>
    <w:rsid w:val="003259D2"/>
    <w:rsid w:val="00326215"/>
    <w:rsid w:val="00326485"/>
    <w:rsid w:val="003266B0"/>
    <w:rsid w:val="00326812"/>
    <w:rsid w:val="00326CE0"/>
    <w:rsid w:val="00330BCF"/>
    <w:rsid w:val="00331B8D"/>
    <w:rsid w:val="003320B2"/>
    <w:rsid w:val="00332D6E"/>
    <w:rsid w:val="00332F5B"/>
    <w:rsid w:val="00334CC7"/>
    <w:rsid w:val="00336112"/>
    <w:rsid w:val="00337349"/>
    <w:rsid w:val="00340F34"/>
    <w:rsid w:val="00343073"/>
    <w:rsid w:val="003443E5"/>
    <w:rsid w:val="003466DA"/>
    <w:rsid w:val="00347ABF"/>
    <w:rsid w:val="00350046"/>
    <w:rsid w:val="00350404"/>
    <w:rsid w:val="0035073B"/>
    <w:rsid w:val="00351E5C"/>
    <w:rsid w:val="00352178"/>
    <w:rsid w:val="003522BF"/>
    <w:rsid w:val="003528DC"/>
    <w:rsid w:val="00353FA5"/>
    <w:rsid w:val="0035401B"/>
    <w:rsid w:val="00354CBB"/>
    <w:rsid w:val="00355A51"/>
    <w:rsid w:val="003563E5"/>
    <w:rsid w:val="0035722B"/>
    <w:rsid w:val="003574C2"/>
    <w:rsid w:val="003574C4"/>
    <w:rsid w:val="0035779E"/>
    <w:rsid w:val="003577E6"/>
    <w:rsid w:val="003607F6"/>
    <w:rsid w:val="00360BB3"/>
    <w:rsid w:val="00360FC8"/>
    <w:rsid w:val="0036209E"/>
    <w:rsid w:val="003623DB"/>
    <w:rsid w:val="003633A2"/>
    <w:rsid w:val="003639EE"/>
    <w:rsid w:val="00364728"/>
    <w:rsid w:val="00365441"/>
    <w:rsid w:val="0036582F"/>
    <w:rsid w:val="00366642"/>
    <w:rsid w:val="00366C2B"/>
    <w:rsid w:val="00367572"/>
    <w:rsid w:val="003702CC"/>
    <w:rsid w:val="003704B8"/>
    <w:rsid w:val="00371F1D"/>
    <w:rsid w:val="0037257B"/>
    <w:rsid w:val="003729B6"/>
    <w:rsid w:val="00372F0D"/>
    <w:rsid w:val="0037357F"/>
    <w:rsid w:val="00373599"/>
    <w:rsid w:val="003738E5"/>
    <w:rsid w:val="00373C06"/>
    <w:rsid w:val="0037431B"/>
    <w:rsid w:val="00375AF8"/>
    <w:rsid w:val="00377FF8"/>
    <w:rsid w:val="00380295"/>
    <w:rsid w:val="00381A02"/>
    <w:rsid w:val="00382361"/>
    <w:rsid w:val="00382E88"/>
    <w:rsid w:val="00384037"/>
    <w:rsid w:val="00384B62"/>
    <w:rsid w:val="00384D98"/>
    <w:rsid w:val="003850D2"/>
    <w:rsid w:val="003851EE"/>
    <w:rsid w:val="0038577D"/>
    <w:rsid w:val="003857D9"/>
    <w:rsid w:val="00385DF5"/>
    <w:rsid w:val="00387673"/>
    <w:rsid w:val="00387808"/>
    <w:rsid w:val="00390636"/>
    <w:rsid w:val="00390834"/>
    <w:rsid w:val="0039096C"/>
    <w:rsid w:val="0039120D"/>
    <w:rsid w:val="0039223B"/>
    <w:rsid w:val="003924AA"/>
    <w:rsid w:val="00392544"/>
    <w:rsid w:val="00392675"/>
    <w:rsid w:val="00392DAE"/>
    <w:rsid w:val="003941B9"/>
    <w:rsid w:val="00394D29"/>
    <w:rsid w:val="0039521E"/>
    <w:rsid w:val="0039580B"/>
    <w:rsid w:val="003959EC"/>
    <w:rsid w:val="00395EC3"/>
    <w:rsid w:val="003A08C7"/>
    <w:rsid w:val="003A10E4"/>
    <w:rsid w:val="003A11AE"/>
    <w:rsid w:val="003A1F08"/>
    <w:rsid w:val="003A1F40"/>
    <w:rsid w:val="003A218E"/>
    <w:rsid w:val="003A3257"/>
    <w:rsid w:val="003A3B6A"/>
    <w:rsid w:val="003A5146"/>
    <w:rsid w:val="003A6788"/>
    <w:rsid w:val="003A7318"/>
    <w:rsid w:val="003A767B"/>
    <w:rsid w:val="003A7956"/>
    <w:rsid w:val="003B0613"/>
    <w:rsid w:val="003B0C0A"/>
    <w:rsid w:val="003B0DB6"/>
    <w:rsid w:val="003B0DF8"/>
    <w:rsid w:val="003B210A"/>
    <w:rsid w:val="003B2569"/>
    <w:rsid w:val="003B2871"/>
    <w:rsid w:val="003B2CD5"/>
    <w:rsid w:val="003B30EC"/>
    <w:rsid w:val="003B3325"/>
    <w:rsid w:val="003B367C"/>
    <w:rsid w:val="003B3FC7"/>
    <w:rsid w:val="003B404E"/>
    <w:rsid w:val="003B483D"/>
    <w:rsid w:val="003B5968"/>
    <w:rsid w:val="003B6504"/>
    <w:rsid w:val="003B65A6"/>
    <w:rsid w:val="003B765B"/>
    <w:rsid w:val="003B7DF6"/>
    <w:rsid w:val="003C01FC"/>
    <w:rsid w:val="003C070F"/>
    <w:rsid w:val="003C100B"/>
    <w:rsid w:val="003C215C"/>
    <w:rsid w:val="003C5F65"/>
    <w:rsid w:val="003C7EAB"/>
    <w:rsid w:val="003D046D"/>
    <w:rsid w:val="003D0A44"/>
    <w:rsid w:val="003D1816"/>
    <w:rsid w:val="003D1D57"/>
    <w:rsid w:val="003D404B"/>
    <w:rsid w:val="003D42ED"/>
    <w:rsid w:val="003D4ECD"/>
    <w:rsid w:val="003D5F4E"/>
    <w:rsid w:val="003D618C"/>
    <w:rsid w:val="003D660F"/>
    <w:rsid w:val="003D6B26"/>
    <w:rsid w:val="003D75DB"/>
    <w:rsid w:val="003D7E53"/>
    <w:rsid w:val="003E0CC3"/>
    <w:rsid w:val="003E24B5"/>
    <w:rsid w:val="003E2C37"/>
    <w:rsid w:val="003E3314"/>
    <w:rsid w:val="003E3621"/>
    <w:rsid w:val="003E4CD9"/>
    <w:rsid w:val="003F1E1C"/>
    <w:rsid w:val="003F3667"/>
    <w:rsid w:val="003F39A1"/>
    <w:rsid w:val="003F4009"/>
    <w:rsid w:val="003F6D56"/>
    <w:rsid w:val="003F709F"/>
    <w:rsid w:val="003F71B6"/>
    <w:rsid w:val="003F785D"/>
    <w:rsid w:val="003F7995"/>
    <w:rsid w:val="00401650"/>
    <w:rsid w:val="00401FED"/>
    <w:rsid w:val="00402A2D"/>
    <w:rsid w:val="00402ABF"/>
    <w:rsid w:val="00404867"/>
    <w:rsid w:val="004054A1"/>
    <w:rsid w:val="00405625"/>
    <w:rsid w:val="00405B2C"/>
    <w:rsid w:val="00406074"/>
    <w:rsid w:val="0040668D"/>
    <w:rsid w:val="00406AD9"/>
    <w:rsid w:val="00410EEF"/>
    <w:rsid w:val="004115B5"/>
    <w:rsid w:val="00412223"/>
    <w:rsid w:val="004136D6"/>
    <w:rsid w:val="00414311"/>
    <w:rsid w:val="00414505"/>
    <w:rsid w:val="00416540"/>
    <w:rsid w:val="00416A46"/>
    <w:rsid w:val="004203F3"/>
    <w:rsid w:val="00420F08"/>
    <w:rsid w:val="00421758"/>
    <w:rsid w:val="00422303"/>
    <w:rsid w:val="00422A65"/>
    <w:rsid w:val="00422E5D"/>
    <w:rsid w:val="00422EDB"/>
    <w:rsid w:val="004233D9"/>
    <w:rsid w:val="004237B1"/>
    <w:rsid w:val="00424062"/>
    <w:rsid w:val="00424606"/>
    <w:rsid w:val="00424E88"/>
    <w:rsid w:val="00431936"/>
    <w:rsid w:val="00431ABE"/>
    <w:rsid w:val="004329D0"/>
    <w:rsid w:val="00432ADF"/>
    <w:rsid w:val="0043377B"/>
    <w:rsid w:val="00433E94"/>
    <w:rsid w:val="004351E4"/>
    <w:rsid w:val="004356C7"/>
    <w:rsid w:val="00435D1D"/>
    <w:rsid w:val="00436056"/>
    <w:rsid w:val="004364E8"/>
    <w:rsid w:val="00436C5F"/>
    <w:rsid w:val="00437A1F"/>
    <w:rsid w:val="0044019E"/>
    <w:rsid w:val="004403E0"/>
    <w:rsid w:val="00440C4A"/>
    <w:rsid w:val="004413A6"/>
    <w:rsid w:val="00443DDF"/>
    <w:rsid w:val="00443FF1"/>
    <w:rsid w:val="004442BC"/>
    <w:rsid w:val="00447E5C"/>
    <w:rsid w:val="0045269B"/>
    <w:rsid w:val="00452861"/>
    <w:rsid w:val="00452DD6"/>
    <w:rsid w:val="00452FD6"/>
    <w:rsid w:val="00454830"/>
    <w:rsid w:val="004548CD"/>
    <w:rsid w:val="00456438"/>
    <w:rsid w:val="00456485"/>
    <w:rsid w:val="00460594"/>
    <w:rsid w:val="004606FA"/>
    <w:rsid w:val="004613E5"/>
    <w:rsid w:val="00462F97"/>
    <w:rsid w:val="004644DC"/>
    <w:rsid w:val="00464520"/>
    <w:rsid w:val="00464F42"/>
    <w:rsid w:val="00466810"/>
    <w:rsid w:val="00467B91"/>
    <w:rsid w:val="00467F49"/>
    <w:rsid w:val="0047052C"/>
    <w:rsid w:val="00470CF5"/>
    <w:rsid w:val="00472C4D"/>
    <w:rsid w:val="00474983"/>
    <w:rsid w:val="00475D7F"/>
    <w:rsid w:val="00476511"/>
    <w:rsid w:val="00476C70"/>
    <w:rsid w:val="004771D2"/>
    <w:rsid w:val="00477627"/>
    <w:rsid w:val="00477DEC"/>
    <w:rsid w:val="00481DCC"/>
    <w:rsid w:val="004820D9"/>
    <w:rsid w:val="00485636"/>
    <w:rsid w:val="00485DFB"/>
    <w:rsid w:val="004862F7"/>
    <w:rsid w:val="00486356"/>
    <w:rsid w:val="00486CF2"/>
    <w:rsid w:val="004900F0"/>
    <w:rsid w:val="00490A0E"/>
    <w:rsid w:val="00490EA8"/>
    <w:rsid w:val="004915CA"/>
    <w:rsid w:val="00491E12"/>
    <w:rsid w:val="00494291"/>
    <w:rsid w:val="00494713"/>
    <w:rsid w:val="00494A80"/>
    <w:rsid w:val="00494F02"/>
    <w:rsid w:val="00494FA6"/>
    <w:rsid w:val="004954E0"/>
    <w:rsid w:val="0049604E"/>
    <w:rsid w:val="00496780"/>
    <w:rsid w:val="004976EB"/>
    <w:rsid w:val="004A02B1"/>
    <w:rsid w:val="004A04B7"/>
    <w:rsid w:val="004A0609"/>
    <w:rsid w:val="004A06F0"/>
    <w:rsid w:val="004A085D"/>
    <w:rsid w:val="004A0878"/>
    <w:rsid w:val="004A14D0"/>
    <w:rsid w:val="004A2743"/>
    <w:rsid w:val="004A4342"/>
    <w:rsid w:val="004A46BC"/>
    <w:rsid w:val="004A5934"/>
    <w:rsid w:val="004A6C7D"/>
    <w:rsid w:val="004B05AD"/>
    <w:rsid w:val="004B0C18"/>
    <w:rsid w:val="004B12EE"/>
    <w:rsid w:val="004B2FB0"/>
    <w:rsid w:val="004B477C"/>
    <w:rsid w:val="004B5382"/>
    <w:rsid w:val="004B6374"/>
    <w:rsid w:val="004B64F8"/>
    <w:rsid w:val="004B66D6"/>
    <w:rsid w:val="004B697F"/>
    <w:rsid w:val="004B6AA0"/>
    <w:rsid w:val="004B7CDC"/>
    <w:rsid w:val="004C0437"/>
    <w:rsid w:val="004C0DB9"/>
    <w:rsid w:val="004C244B"/>
    <w:rsid w:val="004C3D5B"/>
    <w:rsid w:val="004C4854"/>
    <w:rsid w:val="004C48C5"/>
    <w:rsid w:val="004C4B12"/>
    <w:rsid w:val="004C4C95"/>
    <w:rsid w:val="004C4DD7"/>
    <w:rsid w:val="004C55B8"/>
    <w:rsid w:val="004C560A"/>
    <w:rsid w:val="004C666A"/>
    <w:rsid w:val="004D000A"/>
    <w:rsid w:val="004D0072"/>
    <w:rsid w:val="004D0303"/>
    <w:rsid w:val="004D12E0"/>
    <w:rsid w:val="004D2932"/>
    <w:rsid w:val="004D30A6"/>
    <w:rsid w:val="004D3ACE"/>
    <w:rsid w:val="004D4CAD"/>
    <w:rsid w:val="004D51B3"/>
    <w:rsid w:val="004D72E3"/>
    <w:rsid w:val="004D77C4"/>
    <w:rsid w:val="004D7AF2"/>
    <w:rsid w:val="004E10C0"/>
    <w:rsid w:val="004E1460"/>
    <w:rsid w:val="004E16CF"/>
    <w:rsid w:val="004E2909"/>
    <w:rsid w:val="004E3AFA"/>
    <w:rsid w:val="004E3D6C"/>
    <w:rsid w:val="004E4648"/>
    <w:rsid w:val="004E5D98"/>
    <w:rsid w:val="004E74BD"/>
    <w:rsid w:val="004F07C9"/>
    <w:rsid w:val="004F21D8"/>
    <w:rsid w:val="004F28CA"/>
    <w:rsid w:val="004F2A3F"/>
    <w:rsid w:val="004F40C1"/>
    <w:rsid w:val="004F5334"/>
    <w:rsid w:val="004F6335"/>
    <w:rsid w:val="004F637D"/>
    <w:rsid w:val="004F6946"/>
    <w:rsid w:val="004F6956"/>
    <w:rsid w:val="004F6F65"/>
    <w:rsid w:val="004F7429"/>
    <w:rsid w:val="00500099"/>
    <w:rsid w:val="00500BA7"/>
    <w:rsid w:val="00501126"/>
    <w:rsid w:val="00501CEF"/>
    <w:rsid w:val="005048AF"/>
    <w:rsid w:val="00504E89"/>
    <w:rsid w:val="0050625C"/>
    <w:rsid w:val="00506487"/>
    <w:rsid w:val="00506639"/>
    <w:rsid w:val="00506C34"/>
    <w:rsid w:val="005070FF"/>
    <w:rsid w:val="005105A1"/>
    <w:rsid w:val="005113E8"/>
    <w:rsid w:val="00511D53"/>
    <w:rsid w:val="0051201C"/>
    <w:rsid w:val="00512D08"/>
    <w:rsid w:val="005131BB"/>
    <w:rsid w:val="00513AE2"/>
    <w:rsid w:val="00514038"/>
    <w:rsid w:val="0051485B"/>
    <w:rsid w:val="00514C49"/>
    <w:rsid w:val="0051590F"/>
    <w:rsid w:val="00515DB9"/>
    <w:rsid w:val="005163A2"/>
    <w:rsid w:val="005170B5"/>
    <w:rsid w:val="005171B7"/>
    <w:rsid w:val="00517E60"/>
    <w:rsid w:val="00520855"/>
    <w:rsid w:val="0052178F"/>
    <w:rsid w:val="00523148"/>
    <w:rsid w:val="00523966"/>
    <w:rsid w:val="0052447B"/>
    <w:rsid w:val="005258AF"/>
    <w:rsid w:val="005267D7"/>
    <w:rsid w:val="0052729E"/>
    <w:rsid w:val="00527CA8"/>
    <w:rsid w:val="00527E69"/>
    <w:rsid w:val="00530109"/>
    <w:rsid w:val="005302C5"/>
    <w:rsid w:val="0053113B"/>
    <w:rsid w:val="00531452"/>
    <w:rsid w:val="00531C96"/>
    <w:rsid w:val="00532DF9"/>
    <w:rsid w:val="0053478B"/>
    <w:rsid w:val="0053486B"/>
    <w:rsid w:val="005349E6"/>
    <w:rsid w:val="00534B76"/>
    <w:rsid w:val="00534CE0"/>
    <w:rsid w:val="00535A01"/>
    <w:rsid w:val="00536CC7"/>
    <w:rsid w:val="005409EF"/>
    <w:rsid w:val="00540E99"/>
    <w:rsid w:val="005412A5"/>
    <w:rsid w:val="005434C6"/>
    <w:rsid w:val="005440E3"/>
    <w:rsid w:val="00546342"/>
    <w:rsid w:val="00546712"/>
    <w:rsid w:val="0055009F"/>
    <w:rsid w:val="00550BA1"/>
    <w:rsid w:val="00550C49"/>
    <w:rsid w:val="00550C8B"/>
    <w:rsid w:val="005532B1"/>
    <w:rsid w:val="005552A0"/>
    <w:rsid w:val="00555D78"/>
    <w:rsid w:val="00555D88"/>
    <w:rsid w:val="005560AC"/>
    <w:rsid w:val="0055633C"/>
    <w:rsid w:val="00557011"/>
    <w:rsid w:val="0055790D"/>
    <w:rsid w:val="0056043C"/>
    <w:rsid w:val="00560BBF"/>
    <w:rsid w:val="00560BCD"/>
    <w:rsid w:val="005611E0"/>
    <w:rsid w:val="00561AAF"/>
    <w:rsid w:val="00562F2B"/>
    <w:rsid w:val="00563078"/>
    <w:rsid w:val="0056398E"/>
    <w:rsid w:val="005647A9"/>
    <w:rsid w:val="00564ADD"/>
    <w:rsid w:val="00564FA8"/>
    <w:rsid w:val="0056685C"/>
    <w:rsid w:val="00567406"/>
    <w:rsid w:val="00567460"/>
    <w:rsid w:val="0056792B"/>
    <w:rsid w:val="00572588"/>
    <w:rsid w:val="00572BE3"/>
    <w:rsid w:val="0057308F"/>
    <w:rsid w:val="0057341F"/>
    <w:rsid w:val="00573677"/>
    <w:rsid w:val="00574318"/>
    <w:rsid w:val="00574597"/>
    <w:rsid w:val="00574A61"/>
    <w:rsid w:val="00575D8F"/>
    <w:rsid w:val="00577E74"/>
    <w:rsid w:val="00577FC0"/>
    <w:rsid w:val="005808AA"/>
    <w:rsid w:val="00581DFE"/>
    <w:rsid w:val="005824F3"/>
    <w:rsid w:val="00582737"/>
    <w:rsid w:val="00582B4F"/>
    <w:rsid w:val="0058386E"/>
    <w:rsid w:val="005875C0"/>
    <w:rsid w:val="005876D8"/>
    <w:rsid w:val="0058787F"/>
    <w:rsid w:val="005900BF"/>
    <w:rsid w:val="00590E81"/>
    <w:rsid w:val="00592D8B"/>
    <w:rsid w:val="00594152"/>
    <w:rsid w:val="005959E2"/>
    <w:rsid w:val="005968BE"/>
    <w:rsid w:val="0059690D"/>
    <w:rsid w:val="00597BD3"/>
    <w:rsid w:val="00597FA6"/>
    <w:rsid w:val="005A08C4"/>
    <w:rsid w:val="005A0A7D"/>
    <w:rsid w:val="005A11AC"/>
    <w:rsid w:val="005A1368"/>
    <w:rsid w:val="005A154F"/>
    <w:rsid w:val="005A2973"/>
    <w:rsid w:val="005A2C1C"/>
    <w:rsid w:val="005A3524"/>
    <w:rsid w:val="005A48E8"/>
    <w:rsid w:val="005A4CD2"/>
    <w:rsid w:val="005A51D3"/>
    <w:rsid w:val="005A574B"/>
    <w:rsid w:val="005A631E"/>
    <w:rsid w:val="005A6DE8"/>
    <w:rsid w:val="005A730C"/>
    <w:rsid w:val="005B11B6"/>
    <w:rsid w:val="005B13CA"/>
    <w:rsid w:val="005B2E3F"/>
    <w:rsid w:val="005B3635"/>
    <w:rsid w:val="005B3BE3"/>
    <w:rsid w:val="005B45B9"/>
    <w:rsid w:val="005B4773"/>
    <w:rsid w:val="005B6DE0"/>
    <w:rsid w:val="005B6ECC"/>
    <w:rsid w:val="005B717E"/>
    <w:rsid w:val="005B7AE7"/>
    <w:rsid w:val="005C0526"/>
    <w:rsid w:val="005C0B4C"/>
    <w:rsid w:val="005C185A"/>
    <w:rsid w:val="005C1C49"/>
    <w:rsid w:val="005C1E1D"/>
    <w:rsid w:val="005C248F"/>
    <w:rsid w:val="005C26EA"/>
    <w:rsid w:val="005C39EC"/>
    <w:rsid w:val="005C441F"/>
    <w:rsid w:val="005C65E4"/>
    <w:rsid w:val="005C6B68"/>
    <w:rsid w:val="005C73F2"/>
    <w:rsid w:val="005C7653"/>
    <w:rsid w:val="005C7B31"/>
    <w:rsid w:val="005C7CA1"/>
    <w:rsid w:val="005C7CE4"/>
    <w:rsid w:val="005D0498"/>
    <w:rsid w:val="005D0AAF"/>
    <w:rsid w:val="005D0DEA"/>
    <w:rsid w:val="005D2721"/>
    <w:rsid w:val="005D2C00"/>
    <w:rsid w:val="005D33D6"/>
    <w:rsid w:val="005D46C1"/>
    <w:rsid w:val="005D583D"/>
    <w:rsid w:val="005D5B0F"/>
    <w:rsid w:val="005D6C4C"/>
    <w:rsid w:val="005D7A3A"/>
    <w:rsid w:val="005D7FFC"/>
    <w:rsid w:val="005E0B28"/>
    <w:rsid w:val="005E1CBC"/>
    <w:rsid w:val="005E1DD7"/>
    <w:rsid w:val="005E24F2"/>
    <w:rsid w:val="005E36F5"/>
    <w:rsid w:val="005E3E52"/>
    <w:rsid w:val="005E4845"/>
    <w:rsid w:val="005E593D"/>
    <w:rsid w:val="005E5D8D"/>
    <w:rsid w:val="005E5FB8"/>
    <w:rsid w:val="005F01B0"/>
    <w:rsid w:val="005F0DED"/>
    <w:rsid w:val="005F2160"/>
    <w:rsid w:val="005F2186"/>
    <w:rsid w:val="005F263D"/>
    <w:rsid w:val="005F3767"/>
    <w:rsid w:val="005F49B1"/>
    <w:rsid w:val="005F4D66"/>
    <w:rsid w:val="005F4F44"/>
    <w:rsid w:val="005F5008"/>
    <w:rsid w:val="005F6B1D"/>
    <w:rsid w:val="005F73D2"/>
    <w:rsid w:val="005F7535"/>
    <w:rsid w:val="006009AF"/>
    <w:rsid w:val="0060168A"/>
    <w:rsid w:val="0060231F"/>
    <w:rsid w:val="006026C6"/>
    <w:rsid w:val="006038E7"/>
    <w:rsid w:val="006058AA"/>
    <w:rsid w:val="00605F95"/>
    <w:rsid w:val="00607293"/>
    <w:rsid w:val="006101CA"/>
    <w:rsid w:val="0061080B"/>
    <w:rsid w:val="0061097F"/>
    <w:rsid w:val="00610B72"/>
    <w:rsid w:val="00611180"/>
    <w:rsid w:val="00611D9E"/>
    <w:rsid w:val="006123E9"/>
    <w:rsid w:val="00612BB8"/>
    <w:rsid w:val="0061445E"/>
    <w:rsid w:val="0061482A"/>
    <w:rsid w:val="00614BC4"/>
    <w:rsid w:val="006153DA"/>
    <w:rsid w:val="00615C98"/>
    <w:rsid w:val="0061615D"/>
    <w:rsid w:val="0062050C"/>
    <w:rsid w:val="00620E34"/>
    <w:rsid w:val="0062109A"/>
    <w:rsid w:val="00621949"/>
    <w:rsid w:val="006219E6"/>
    <w:rsid w:val="00622635"/>
    <w:rsid w:val="006262BB"/>
    <w:rsid w:val="006264D7"/>
    <w:rsid w:val="006277FF"/>
    <w:rsid w:val="00632534"/>
    <w:rsid w:val="006348DB"/>
    <w:rsid w:val="0063530C"/>
    <w:rsid w:val="006355FF"/>
    <w:rsid w:val="00635AEB"/>
    <w:rsid w:val="006364C5"/>
    <w:rsid w:val="00636748"/>
    <w:rsid w:val="00636B5E"/>
    <w:rsid w:val="00637EFA"/>
    <w:rsid w:val="00640B0F"/>
    <w:rsid w:val="00640E9D"/>
    <w:rsid w:val="00641186"/>
    <w:rsid w:val="00641373"/>
    <w:rsid w:val="006418E4"/>
    <w:rsid w:val="0064333F"/>
    <w:rsid w:val="00645219"/>
    <w:rsid w:val="00645AE5"/>
    <w:rsid w:val="00645FB7"/>
    <w:rsid w:val="00646CD4"/>
    <w:rsid w:val="0064748C"/>
    <w:rsid w:val="00650A88"/>
    <w:rsid w:val="0065180F"/>
    <w:rsid w:val="00651859"/>
    <w:rsid w:val="00652556"/>
    <w:rsid w:val="006527FE"/>
    <w:rsid w:val="0065387B"/>
    <w:rsid w:val="006541EE"/>
    <w:rsid w:val="00654CAD"/>
    <w:rsid w:val="00654FD7"/>
    <w:rsid w:val="00655149"/>
    <w:rsid w:val="0065550D"/>
    <w:rsid w:val="00655BF5"/>
    <w:rsid w:val="00656018"/>
    <w:rsid w:val="00656BEC"/>
    <w:rsid w:val="00656ECA"/>
    <w:rsid w:val="00657AE0"/>
    <w:rsid w:val="00662DB6"/>
    <w:rsid w:val="006630F8"/>
    <w:rsid w:val="006637C5"/>
    <w:rsid w:val="006643BD"/>
    <w:rsid w:val="00666976"/>
    <w:rsid w:val="00666CDF"/>
    <w:rsid w:val="00666E07"/>
    <w:rsid w:val="006671DA"/>
    <w:rsid w:val="00667804"/>
    <w:rsid w:val="006679C4"/>
    <w:rsid w:val="00667C64"/>
    <w:rsid w:val="006701BF"/>
    <w:rsid w:val="00670D3D"/>
    <w:rsid w:val="00672DD5"/>
    <w:rsid w:val="00674452"/>
    <w:rsid w:val="00675232"/>
    <w:rsid w:val="006757A7"/>
    <w:rsid w:val="00675864"/>
    <w:rsid w:val="006766E4"/>
    <w:rsid w:val="0067698E"/>
    <w:rsid w:val="00680651"/>
    <w:rsid w:val="00680936"/>
    <w:rsid w:val="00680B5F"/>
    <w:rsid w:val="00681DBA"/>
    <w:rsid w:val="00683439"/>
    <w:rsid w:val="0068683A"/>
    <w:rsid w:val="006869D8"/>
    <w:rsid w:val="00686F8A"/>
    <w:rsid w:val="00687A31"/>
    <w:rsid w:val="00690171"/>
    <w:rsid w:val="006910F8"/>
    <w:rsid w:val="00691D85"/>
    <w:rsid w:val="00692545"/>
    <w:rsid w:val="00692B91"/>
    <w:rsid w:val="00692D8E"/>
    <w:rsid w:val="00694A17"/>
    <w:rsid w:val="00694EF5"/>
    <w:rsid w:val="00696049"/>
    <w:rsid w:val="006962FB"/>
    <w:rsid w:val="00696EB6"/>
    <w:rsid w:val="006A124B"/>
    <w:rsid w:val="006A2A1B"/>
    <w:rsid w:val="006A5854"/>
    <w:rsid w:val="006A6F2D"/>
    <w:rsid w:val="006A72AB"/>
    <w:rsid w:val="006A773C"/>
    <w:rsid w:val="006B0DA4"/>
    <w:rsid w:val="006B27A9"/>
    <w:rsid w:val="006B325C"/>
    <w:rsid w:val="006B356B"/>
    <w:rsid w:val="006B48B5"/>
    <w:rsid w:val="006B4A6F"/>
    <w:rsid w:val="006B6980"/>
    <w:rsid w:val="006B6D00"/>
    <w:rsid w:val="006B6FE5"/>
    <w:rsid w:val="006B719B"/>
    <w:rsid w:val="006B7AE2"/>
    <w:rsid w:val="006C0B63"/>
    <w:rsid w:val="006C1C0F"/>
    <w:rsid w:val="006C1E03"/>
    <w:rsid w:val="006C2BE4"/>
    <w:rsid w:val="006C3F39"/>
    <w:rsid w:val="006C405C"/>
    <w:rsid w:val="006C40DF"/>
    <w:rsid w:val="006C6A3B"/>
    <w:rsid w:val="006C7CD9"/>
    <w:rsid w:val="006D07E2"/>
    <w:rsid w:val="006D0FD0"/>
    <w:rsid w:val="006D171D"/>
    <w:rsid w:val="006D1D5D"/>
    <w:rsid w:val="006D2161"/>
    <w:rsid w:val="006D29C6"/>
    <w:rsid w:val="006D2EA7"/>
    <w:rsid w:val="006D3721"/>
    <w:rsid w:val="006D3C6C"/>
    <w:rsid w:val="006D51B1"/>
    <w:rsid w:val="006D602F"/>
    <w:rsid w:val="006D6049"/>
    <w:rsid w:val="006D7272"/>
    <w:rsid w:val="006E093E"/>
    <w:rsid w:val="006E153A"/>
    <w:rsid w:val="006E2845"/>
    <w:rsid w:val="006E287E"/>
    <w:rsid w:val="006E39C0"/>
    <w:rsid w:val="006E41F5"/>
    <w:rsid w:val="006E48D0"/>
    <w:rsid w:val="006E60E3"/>
    <w:rsid w:val="006E622C"/>
    <w:rsid w:val="006E63AC"/>
    <w:rsid w:val="006E64D3"/>
    <w:rsid w:val="006E7BE8"/>
    <w:rsid w:val="006F0605"/>
    <w:rsid w:val="006F0B1A"/>
    <w:rsid w:val="006F267C"/>
    <w:rsid w:val="006F3229"/>
    <w:rsid w:val="006F32E1"/>
    <w:rsid w:val="006F3740"/>
    <w:rsid w:val="006F4AB4"/>
    <w:rsid w:val="006F4E07"/>
    <w:rsid w:val="006F5448"/>
    <w:rsid w:val="006F7CBF"/>
    <w:rsid w:val="0070069C"/>
    <w:rsid w:val="007038B6"/>
    <w:rsid w:val="007038D2"/>
    <w:rsid w:val="007049ED"/>
    <w:rsid w:val="00704F73"/>
    <w:rsid w:val="007051A5"/>
    <w:rsid w:val="007053C2"/>
    <w:rsid w:val="00705C4B"/>
    <w:rsid w:val="00705DF1"/>
    <w:rsid w:val="00706837"/>
    <w:rsid w:val="00711B79"/>
    <w:rsid w:val="00711B84"/>
    <w:rsid w:val="00711C15"/>
    <w:rsid w:val="00711C8E"/>
    <w:rsid w:val="00712F42"/>
    <w:rsid w:val="00713013"/>
    <w:rsid w:val="0071346F"/>
    <w:rsid w:val="00713786"/>
    <w:rsid w:val="0071394D"/>
    <w:rsid w:val="00713950"/>
    <w:rsid w:val="00714400"/>
    <w:rsid w:val="00715404"/>
    <w:rsid w:val="007160F9"/>
    <w:rsid w:val="00716D24"/>
    <w:rsid w:val="0072019F"/>
    <w:rsid w:val="00720709"/>
    <w:rsid w:val="00720E08"/>
    <w:rsid w:val="0072132D"/>
    <w:rsid w:val="00721AB5"/>
    <w:rsid w:val="00721B92"/>
    <w:rsid w:val="00722D9A"/>
    <w:rsid w:val="00723036"/>
    <w:rsid w:val="00723E9D"/>
    <w:rsid w:val="007244F5"/>
    <w:rsid w:val="00725178"/>
    <w:rsid w:val="00725D0E"/>
    <w:rsid w:val="00726EA6"/>
    <w:rsid w:val="00727E99"/>
    <w:rsid w:val="007304F4"/>
    <w:rsid w:val="007311F1"/>
    <w:rsid w:val="00732C87"/>
    <w:rsid w:val="0073542A"/>
    <w:rsid w:val="0073590F"/>
    <w:rsid w:val="00735CE4"/>
    <w:rsid w:val="00735EBE"/>
    <w:rsid w:val="007377FC"/>
    <w:rsid w:val="00737C7B"/>
    <w:rsid w:val="007412C5"/>
    <w:rsid w:val="007433BA"/>
    <w:rsid w:val="00743D0C"/>
    <w:rsid w:val="00744454"/>
    <w:rsid w:val="00744908"/>
    <w:rsid w:val="00744E26"/>
    <w:rsid w:val="007451DB"/>
    <w:rsid w:val="00745480"/>
    <w:rsid w:val="00746DE0"/>
    <w:rsid w:val="0075112A"/>
    <w:rsid w:val="007514DE"/>
    <w:rsid w:val="0075168E"/>
    <w:rsid w:val="00752837"/>
    <w:rsid w:val="00752F49"/>
    <w:rsid w:val="007533B1"/>
    <w:rsid w:val="00753A51"/>
    <w:rsid w:val="00753BDE"/>
    <w:rsid w:val="007541BA"/>
    <w:rsid w:val="00754897"/>
    <w:rsid w:val="00754956"/>
    <w:rsid w:val="007551F4"/>
    <w:rsid w:val="007556C1"/>
    <w:rsid w:val="00755955"/>
    <w:rsid w:val="0075600B"/>
    <w:rsid w:val="007560BC"/>
    <w:rsid w:val="0076065B"/>
    <w:rsid w:val="00760773"/>
    <w:rsid w:val="0076097C"/>
    <w:rsid w:val="00761F7B"/>
    <w:rsid w:val="00762D56"/>
    <w:rsid w:val="00763549"/>
    <w:rsid w:val="00763E3F"/>
    <w:rsid w:val="00766218"/>
    <w:rsid w:val="00766806"/>
    <w:rsid w:val="00766C96"/>
    <w:rsid w:val="00770DFB"/>
    <w:rsid w:val="00771623"/>
    <w:rsid w:val="00771B75"/>
    <w:rsid w:val="00772340"/>
    <w:rsid w:val="007725EB"/>
    <w:rsid w:val="007731D0"/>
    <w:rsid w:val="007732DB"/>
    <w:rsid w:val="007742F7"/>
    <w:rsid w:val="00775E96"/>
    <w:rsid w:val="00776391"/>
    <w:rsid w:val="0077660E"/>
    <w:rsid w:val="00780985"/>
    <w:rsid w:val="0079045F"/>
    <w:rsid w:val="0079139F"/>
    <w:rsid w:val="00792347"/>
    <w:rsid w:val="00793026"/>
    <w:rsid w:val="00794AE0"/>
    <w:rsid w:val="00794B0D"/>
    <w:rsid w:val="0079564F"/>
    <w:rsid w:val="007969B5"/>
    <w:rsid w:val="007969FF"/>
    <w:rsid w:val="00797959"/>
    <w:rsid w:val="007A0DEA"/>
    <w:rsid w:val="007A159E"/>
    <w:rsid w:val="007A194D"/>
    <w:rsid w:val="007A1BE1"/>
    <w:rsid w:val="007A1C5D"/>
    <w:rsid w:val="007A3FBD"/>
    <w:rsid w:val="007A41EE"/>
    <w:rsid w:val="007A5034"/>
    <w:rsid w:val="007A61BE"/>
    <w:rsid w:val="007A753A"/>
    <w:rsid w:val="007A7C3D"/>
    <w:rsid w:val="007B0351"/>
    <w:rsid w:val="007B0E75"/>
    <w:rsid w:val="007B0FDC"/>
    <w:rsid w:val="007B1094"/>
    <w:rsid w:val="007B1F9E"/>
    <w:rsid w:val="007B285E"/>
    <w:rsid w:val="007B2EA7"/>
    <w:rsid w:val="007B392B"/>
    <w:rsid w:val="007B4329"/>
    <w:rsid w:val="007B45CC"/>
    <w:rsid w:val="007B7507"/>
    <w:rsid w:val="007C077C"/>
    <w:rsid w:val="007C1407"/>
    <w:rsid w:val="007C1761"/>
    <w:rsid w:val="007C1822"/>
    <w:rsid w:val="007C1AA5"/>
    <w:rsid w:val="007C1ADF"/>
    <w:rsid w:val="007C3A8C"/>
    <w:rsid w:val="007C3D1F"/>
    <w:rsid w:val="007C3D63"/>
    <w:rsid w:val="007C3DAD"/>
    <w:rsid w:val="007C4539"/>
    <w:rsid w:val="007C4FE1"/>
    <w:rsid w:val="007C5438"/>
    <w:rsid w:val="007C55B4"/>
    <w:rsid w:val="007C5675"/>
    <w:rsid w:val="007C66E9"/>
    <w:rsid w:val="007C672D"/>
    <w:rsid w:val="007D0698"/>
    <w:rsid w:val="007D0926"/>
    <w:rsid w:val="007D0BA8"/>
    <w:rsid w:val="007D0D80"/>
    <w:rsid w:val="007D1EC6"/>
    <w:rsid w:val="007D2521"/>
    <w:rsid w:val="007D267B"/>
    <w:rsid w:val="007D2FB4"/>
    <w:rsid w:val="007D30A9"/>
    <w:rsid w:val="007D3DB4"/>
    <w:rsid w:val="007D3F31"/>
    <w:rsid w:val="007D4043"/>
    <w:rsid w:val="007D40F4"/>
    <w:rsid w:val="007D4558"/>
    <w:rsid w:val="007D51B6"/>
    <w:rsid w:val="007D54CA"/>
    <w:rsid w:val="007D54F9"/>
    <w:rsid w:val="007D5564"/>
    <w:rsid w:val="007D6DE4"/>
    <w:rsid w:val="007E288D"/>
    <w:rsid w:val="007E2DD9"/>
    <w:rsid w:val="007E2F01"/>
    <w:rsid w:val="007E31F9"/>
    <w:rsid w:val="007E4051"/>
    <w:rsid w:val="007E5149"/>
    <w:rsid w:val="007E59AB"/>
    <w:rsid w:val="007E616A"/>
    <w:rsid w:val="007E66F3"/>
    <w:rsid w:val="007F10EE"/>
    <w:rsid w:val="007F2BB1"/>
    <w:rsid w:val="007F32E6"/>
    <w:rsid w:val="007F47D9"/>
    <w:rsid w:val="007F5091"/>
    <w:rsid w:val="007F59FD"/>
    <w:rsid w:val="007F78A9"/>
    <w:rsid w:val="0080144E"/>
    <w:rsid w:val="0080158C"/>
    <w:rsid w:val="00801969"/>
    <w:rsid w:val="00801D19"/>
    <w:rsid w:val="00802319"/>
    <w:rsid w:val="008023A0"/>
    <w:rsid w:val="00802C4B"/>
    <w:rsid w:val="00802D2F"/>
    <w:rsid w:val="00803646"/>
    <w:rsid w:val="008039A9"/>
    <w:rsid w:val="00805675"/>
    <w:rsid w:val="00805A59"/>
    <w:rsid w:val="008066D7"/>
    <w:rsid w:val="0080692A"/>
    <w:rsid w:val="00811F5A"/>
    <w:rsid w:val="00812AA1"/>
    <w:rsid w:val="00814E40"/>
    <w:rsid w:val="00816C6B"/>
    <w:rsid w:val="008205FB"/>
    <w:rsid w:val="008208EC"/>
    <w:rsid w:val="00821502"/>
    <w:rsid w:val="00821B53"/>
    <w:rsid w:val="00821C27"/>
    <w:rsid w:val="00821DFB"/>
    <w:rsid w:val="00822CF0"/>
    <w:rsid w:val="0082315F"/>
    <w:rsid w:val="00823835"/>
    <w:rsid w:val="00824114"/>
    <w:rsid w:val="00825167"/>
    <w:rsid w:val="008251CC"/>
    <w:rsid w:val="00825A93"/>
    <w:rsid w:val="00825BF3"/>
    <w:rsid w:val="008264F1"/>
    <w:rsid w:val="008266D2"/>
    <w:rsid w:val="00826C5E"/>
    <w:rsid w:val="00826EF6"/>
    <w:rsid w:val="008306AA"/>
    <w:rsid w:val="00830BF0"/>
    <w:rsid w:val="00832605"/>
    <w:rsid w:val="00832E2E"/>
    <w:rsid w:val="00833740"/>
    <w:rsid w:val="00834312"/>
    <w:rsid w:val="00836C43"/>
    <w:rsid w:val="008371B7"/>
    <w:rsid w:val="00837E0A"/>
    <w:rsid w:val="00842340"/>
    <w:rsid w:val="008424ED"/>
    <w:rsid w:val="008427B6"/>
    <w:rsid w:val="00842DC8"/>
    <w:rsid w:val="0084496C"/>
    <w:rsid w:val="00850139"/>
    <w:rsid w:val="00850932"/>
    <w:rsid w:val="00852CE2"/>
    <w:rsid w:val="008535D2"/>
    <w:rsid w:val="00853C97"/>
    <w:rsid w:val="008543DE"/>
    <w:rsid w:val="0085498A"/>
    <w:rsid w:val="00856123"/>
    <w:rsid w:val="00856495"/>
    <w:rsid w:val="00857734"/>
    <w:rsid w:val="00860D9E"/>
    <w:rsid w:val="00862391"/>
    <w:rsid w:val="00862453"/>
    <w:rsid w:val="0086278C"/>
    <w:rsid w:val="008654DD"/>
    <w:rsid w:val="00865FA1"/>
    <w:rsid w:val="00866B49"/>
    <w:rsid w:val="0086775C"/>
    <w:rsid w:val="00870E18"/>
    <w:rsid w:val="008719E7"/>
    <w:rsid w:val="00871D97"/>
    <w:rsid w:val="0087282D"/>
    <w:rsid w:val="00872C22"/>
    <w:rsid w:val="008734F6"/>
    <w:rsid w:val="00874828"/>
    <w:rsid w:val="008768B9"/>
    <w:rsid w:val="00876C50"/>
    <w:rsid w:val="0087740F"/>
    <w:rsid w:val="00880604"/>
    <w:rsid w:val="00880AE6"/>
    <w:rsid w:val="0088115A"/>
    <w:rsid w:val="00881998"/>
    <w:rsid w:val="00881D0F"/>
    <w:rsid w:val="008831CA"/>
    <w:rsid w:val="00883882"/>
    <w:rsid w:val="008840EE"/>
    <w:rsid w:val="00884177"/>
    <w:rsid w:val="00884B24"/>
    <w:rsid w:val="00885BCB"/>
    <w:rsid w:val="008871FF"/>
    <w:rsid w:val="00887A6C"/>
    <w:rsid w:val="00890534"/>
    <w:rsid w:val="008909CE"/>
    <w:rsid w:val="00890A2E"/>
    <w:rsid w:val="00890C3E"/>
    <w:rsid w:val="0089111A"/>
    <w:rsid w:val="00891501"/>
    <w:rsid w:val="00891A90"/>
    <w:rsid w:val="00892C37"/>
    <w:rsid w:val="008933DD"/>
    <w:rsid w:val="008935F9"/>
    <w:rsid w:val="00893E6C"/>
    <w:rsid w:val="008948B8"/>
    <w:rsid w:val="00894E47"/>
    <w:rsid w:val="008956CD"/>
    <w:rsid w:val="0089609C"/>
    <w:rsid w:val="008A0787"/>
    <w:rsid w:val="008A0B15"/>
    <w:rsid w:val="008A2F34"/>
    <w:rsid w:val="008A361F"/>
    <w:rsid w:val="008A389C"/>
    <w:rsid w:val="008A392E"/>
    <w:rsid w:val="008A4083"/>
    <w:rsid w:val="008A40A4"/>
    <w:rsid w:val="008A4612"/>
    <w:rsid w:val="008A4A7B"/>
    <w:rsid w:val="008A5861"/>
    <w:rsid w:val="008B1C32"/>
    <w:rsid w:val="008B3343"/>
    <w:rsid w:val="008B44D1"/>
    <w:rsid w:val="008B5644"/>
    <w:rsid w:val="008B5B3A"/>
    <w:rsid w:val="008B629C"/>
    <w:rsid w:val="008B67C9"/>
    <w:rsid w:val="008B6B1C"/>
    <w:rsid w:val="008C0842"/>
    <w:rsid w:val="008C1B83"/>
    <w:rsid w:val="008C1CEB"/>
    <w:rsid w:val="008C22B0"/>
    <w:rsid w:val="008C23E4"/>
    <w:rsid w:val="008C2DD8"/>
    <w:rsid w:val="008C339F"/>
    <w:rsid w:val="008C3AC4"/>
    <w:rsid w:val="008C4980"/>
    <w:rsid w:val="008C51D4"/>
    <w:rsid w:val="008C618A"/>
    <w:rsid w:val="008C745C"/>
    <w:rsid w:val="008C7AF6"/>
    <w:rsid w:val="008D16BB"/>
    <w:rsid w:val="008D1EDF"/>
    <w:rsid w:val="008D2638"/>
    <w:rsid w:val="008D2700"/>
    <w:rsid w:val="008D374B"/>
    <w:rsid w:val="008D3A31"/>
    <w:rsid w:val="008D4E56"/>
    <w:rsid w:val="008D5086"/>
    <w:rsid w:val="008D582A"/>
    <w:rsid w:val="008D5E04"/>
    <w:rsid w:val="008D6200"/>
    <w:rsid w:val="008D6355"/>
    <w:rsid w:val="008E07E5"/>
    <w:rsid w:val="008E1C47"/>
    <w:rsid w:val="008E20FF"/>
    <w:rsid w:val="008E2A7D"/>
    <w:rsid w:val="008E2DDD"/>
    <w:rsid w:val="008E343C"/>
    <w:rsid w:val="008E3994"/>
    <w:rsid w:val="008E3D2F"/>
    <w:rsid w:val="008E3D4A"/>
    <w:rsid w:val="008E4584"/>
    <w:rsid w:val="008E5727"/>
    <w:rsid w:val="008E5B14"/>
    <w:rsid w:val="008E5CDF"/>
    <w:rsid w:val="008E6939"/>
    <w:rsid w:val="008E6EAF"/>
    <w:rsid w:val="008E7FCC"/>
    <w:rsid w:val="008F0EAC"/>
    <w:rsid w:val="008F1EBA"/>
    <w:rsid w:val="008F2AA4"/>
    <w:rsid w:val="008F2B97"/>
    <w:rsid w:val="008F3219"/>
    <w:rsid w:val="008F45C5"/>
    <w:rsid w:val="008F4E14"/>
    <w:rsid w:val="008F4F71"/>
    <w:rsid w:val="008F6B40"/>
    <w:rsid w:val="008F6B78"/>
    <w:rsid w:val="008F7123"/>
    <w:rsid w:val="008F72CC"/>
    <w:rsid w:val="0090077C"/>
    <w:rsid w:val="00901E77"/>
    <w:rsid w:val="00902308"/>
    <w:rsid w:val="00905168"/>
    <w:rsid w:val="00905B80"/>
    <w:rsid w:val="00905DCF"/>
    <w:rsid w:val="0090706A"/>
    <w:rsid w:val="00907721"/>
    <w:rsid w:val="00911640"/>
    <w:rsid w:val="00911F41"/>
    <w:rsid w:val="00912645"/>
    <w:rsid w:val="0091390F"/>
    <w:rsid w:val="009145CB"/>
    <w:rsid w:val="00914E58"/>
    <w:rsid w:val="009158D6"/>
    <w:rsid w:val="00916792"/>
    <w:rsid w:val="00916976"/>
    <w:rsid w:val="00916D3E"/>
    <w:rsid w:val="00917AED"/>
    <w:rsid w:val="00917B34"/>
    <w:rsid w:val="00921049"/>
    <w:rsid w:val="009210F6"/>
    <w:rsid w:val="009215E2"/>
    <w:rsid w:val="009230EF"/>
    <w:rsid w:val="00924DD2"/>
    <w:rsid w:val="00925BB1"/>
    <w:rsid w:val="009267C0"/>
    <w:rsid w:val="00926F75"/>
    <w:rsid w:val="00930451"/>
    <w:rsid w:val="00930B70"/>
    <w:rsid w:val="009318CD"/>
    <w:rsid w:val="00931D36"/>
    <w:rsid w:val="0093273B"/>
    <w:rsid w:val="009328F5"/>
    <w:rsid w:val="00932EB7"/>
    <w:rsid w:val="00932F1D"/>
    <w:rsid w:val="00933000"/>
    <w:rsid w:val="009340EF"/>
    <w:rsid w:val="009352EB"/>
    <w:rsid w:val="00936113"/>
    <w:rsid w:val="0093777D"/>
    <w:rsid w:val="00937B59"/>
    <w:rsid w:val="009403A8"/>
    <w:rsid w:val="00942EE3"/>
    <w:rsid w:val="009442FA"/>
    <w:rsid w:val="00950248"/>
    <w:rsid w:val="009507CC"/>
    <w:rsid w:val="009507F8"/>
    <w:rsid w:val="009509AB"/>
    <w:rsid w:val="00951AF1"/>
    <w:rsid w:val="00952CAE"/>
    <w:rsid w:val="00953E96"/>
    <w:rsid w:val="009544E5"/>
    <w:rsid w:val="00956BF2"/>
    <w:rsid w:val="00956E86"/>
    <w:rsid w:val="00957789"/>
    <w:rsid w:val="009610B9"/>
    <w:rsid w:val="00962B97"/>
    <w:rsid w:val="0096341A"/>
    <w:rsid w:val="00963FBF"/>
    <w:rsid w:val="009644A9"/>
    <w:rsid w:val="00965B0B"/>
    <w:rsid w:val="00967E3D"/>
    <w:rsid w:val="0097037D"/>
    <w:rsid w:val="009706ED"/>
    <w:rsid w:val="00970D09"/>
    <w:rsid w:val="0097117D"/>
    <w:rsid w:val="00971417"/>
    <w:rsid w:val="00971746"/>
    <w:rsid w:val="00972229"/>
    <w:rsid w:val="00972E46"/>
    <w:rsid w:val="00973957"/>
    <w:rsid w:val="00974372"/>
    <w:rsid w:val="009748D7"/>
    <w:rsid w:val="009750E7"/>
    <w:rsid w:val="00975E84"/>
    <w:rsid w:val="009779BC"/>
    <w:rsid w:val="00980B54"/>
    <w:rsid w:val="00981672"/>
    <w:rsid w:val="0098220E"/>
    <w:rsid w:val="00983553"/>
    <w:rsid w:val="00983724"/>
    <w:rsid w:val="00983B17"/>
    <w:rsid w:val="00983F5B"/>
    <w:rsid w:val="009844D7"/>
    <w:rsid w:val="009849EA"/>
    <w:rsid w:val="00984AF0"/>
    <w:rsid w:val="00985017"/>
    <w:rsid w:val="00985159"/>
    <w:rsid w:val="0098546D"/>
    <w:rsid w:val="0098563B"/>
    <w:rsid w:val="0098569A"/>
    <w:rsid w:val="009858AF"/>
    <w:rsid w:val="00985EC6"/>
    <w:rsid w:val="00985FAC"/>
    <w:rsid w:val="00991914"/>
    <w:rsid w:val="009924B4"/>
    <w:rsid w:val="00992C9A"/>
    <w:rsid w:val="00993389"/>
    <w:rsid w:val="0099435F"/>
    <w:rsid w:val="0099444B"/>
    <w:rsid w:val="00994E73"/>
    <w:rsid w:val="009952DA"/>
    <w:rsid w:val="00995351"/>
    <w:rsid w:val="009967DD"/>
    <w:rsid w:val="00996A4B"/>
    <w:rsid w:val="00996ADE"/>
    <w:rsid w:val="009A2739"/>
    <w:rsid w:val="009A289B"/>
    <w:rsid w:val="009A3879"/>
    <w:rsid w:val="009A39A6"/>
    <w:rsid w:val="009A3A29"/>
    <w:rsid w:val="009A3D9A"/>
    <w:rsid w:val="009A40E2"/>
    <w:rsid w:val="009A455A"/>
    <w:rsid w:val="009A493B"/>
    <w:rsid w:val="009A4CF2"/>
    <w:rsid w:val="009A4E44"/>
    <w:rsid w:val="009A6056"/>
    <w:rsid w:val="009A63B0"/>
    <w:rsid w:val="009A64FF"/>
    <w:rsid w:val="009B1531"/>
    <w:rsid w:val="009B1A30"/>
    <w:rsid w:val="009B4778"/>
    <w:rsid w:val="009B5D88"/>
    <w:rsid w:val="009B6BE9"/>
    <w:rsid w:val="009B7308"/>
    <w:rsid w:val="009C2A55"/>
    <w:rsid w:val="009C302C"/>
    <w:rsid w:val="009C421A"/>
    <w:rsid w:val="009C45F8"/>
    <w:rsid w:val="009C460A"/>
    <w:rsid w:val="009C5387"/>
    <w:rsid w:val="009C5596"/>
    <w:rsid w:val="009C5689"/>
    <w:rsid w:val="009C5C1E"/>
    <w:rsid w:val="009C5E72"/>
    <w:rsid w:val="009C6FB1"/>
    <w:rsid w:val="009D023A"/>
    <w:rsid w:val="009D0556"/>
    <w:rsid w:val="009D0AED"/>
    <w:rsid w:val="009D141A"/>
    <w:rsid w:val="009D1B2F"/>
    <w:rsid w:val="009D22E7"/>
    <w:rsid w:val="009D231A"/>
    <w:rsid w:val="009D2713"/>
    <w:rsid w:val="009D3837"/>
    <w:rsid w:val="009D4571"/>
    <w:rsid w:val="009D4640"/>
    <w:rsid w:val="009D57BE"/>
    <w:rsid w:val="009D63E8"/>
    <w:rsid w:val="009D7673"/>
    <w:rsid w:val="009E3DC7"/>
    <w:rsid w:val="009E4E7F"/>
    <w:rsid w:val="009E74FB"/>
    <w:rsid w:val="009E7FA8"/>
    <w:rsid w:val="009F06F8"/>
    <w:rsid w:val="009F26FB"/>
    <w:rsid w:val="009F7C82"/>
    <w:rsid w:val="009F7D07"/>
    <w:rsid w:val="00A00004"/>
    <w:rsid w:val="00A000F2"/>
    <w:rsid w:val="00A00C45"/>
    <w:rsid w:val="00A01A59"/>
    <w:rsid w:val="00A02004"/>
    <w:rsid w:val="00A028D8"/>
    <w:rsid w:val="00A02D0D"/>
    <w:rsid w:val="00A068D0"/>
    <w:rsid w:val="00A07A51"/>
    <w:rsid w:val="00A10233"/>
    <w:rsid w:val="00A10A5A"/>
    <w:rsid w:val="00A1152A"/>
    <w:rsid w:val="00A1180E"/>
    <w:rsid w:val="00A11ABF"/>
    <w:rsid w:val="00A13AE6"/>
    <w:rsid w:val="00A13B97"/>
    <w:rsid w:val="00A14457"/>
    <w:rsid w:val="00A14B88"/>
    <w:rsid w:val="00A152D2"/>
    <w:rsid w:val="00A154E5"/>
    <w:rsid w:val="00A15E1C"/>
    <w:rsid w:val="00A164D8"/>
    <w:rsid w:val="00A16E63"/>
    <w:rsid w:val="00A17185"/>
    <w:rsid w:val="00A179B3"/>
    <w:rsid w:val="00A20203"/>
    <w:rsid w:val="00A210AA"/>
    <w:rsid w:val="00A217D0"/>
    <w:rsid w:val="00A23254"/>
    <w:rsid w:val="00A243FD"/>
    <w:rsid w:val="00A25069"/>
    <w:rsid w:val="00A25897"/>
    <w:rsid w:val="00A259AD"/>
    <w:rsid w:val="00A26090"/>
    <w:rsid w:val="00A26123"/>
    <w:rsid w:val="00A266F2"/>
    <w:rsid w:val="00A30758"/>
    <w:rsid w:val="00A3135A"/>
    <w:rsid w:val="00A31718"/>
    <w:rsid w:val="00A31E28"/>
    <w:rsid w:val="00A31FC8"/>
    <w:rsid w:val="00A320DF"/>
    <w:rsid w:val="00A32C19"/>
    <w:rsid w:val="00A34056"/>
    <w:rsid w:val="00A34E1F"/>
    <w:rsid w:val="00A363B8"/>
    <w:rsid w:val="00A370A3"/>
    <w:rsid w:val="00A374DA"/>
    <w:rsid w:val="00A40154"/>
    <w:rsid w:val="00A404DA"/>
    <w:rsid w:val="00A40A28"/>
    <w:rsid w:val="00A42806"/>
    <w:rsid w:val="00A43DFD"/>
    <w:rsid w:val="00A44003"/>
    <w:rsid w:val="00A4498E"/>
    <w:rsid w:val="00A450A5"/>
    <w:rsid w:val="00A452FF"/>
    <w:rsid w:val="00A458B8"/>
    <w:rsid w:val="00A467E8"/>
    <w:rsid w:val="00A478D9"/>
    <w:rsid w:val="00A513BB"/>
    <w:rsid w:val="00A5186C"/>
    <w:rsid w:val="00A53307"/>
    <w:rsid w:val="00A5525E"/>
    <w:rsid w:val="00A55C8E"/>
    <w:rsid w:val="00A55F48"/>
    <w:rsid w:val="00A5600E"/>
    <w:rsid w:val="00A5629C"/>
    <w:rsid w:val="00A566E1"/>
    <w:rsid w:val="00A56941"/>
    <w:rsid w:val="00A56FAA"/>
    <w:rsid w:val="00A5734B"/>
    <w:rsid w:val="00A575E7"/>
    <w:rsid w:val="00A57CD6"/>
    <w:rsid w:val="00A605D1"/>
    <w:rsid w:val="00A60F5F"/>
    <w:rsid w:val="00A61660"/>
    <w:rsid w:val="00A61858"/>
    <w:rsid w:val="00A634FD"/>
    <w:rsid w:val="00A63D2A"/>
    <w:rsid w:val="00A653F5"/>
    <w:rsid w:val="00A66AA4"/>
    <w:rsid w:val="00A67047"/>
    <w:rsid w:val="00A67DBA"/>
    <w:rsid w:val="00A7071F"/>
    <w:rsid w:val="00A70772"/>
    <w:rsid w:val="00A71E4C"/>
    <w:rsid w:val="00A72D00"/>
    <w:rsid w:val="00A74631"/>
    <w:rsid w:val="00A7548E"/>
    <w:rsid w:val="00A7574B"/>
    <w:rsid w:val="00A75E8B"/>
    <w:rsid w:val="00A809D7"/>
    <w:rsid w:val="00A80F36"/>
    <w:rsid w:val="00A81141"/>
    <w:rsid w:val="00A815A6"/>
    <w:rsid w:val="00A81619"/>
    <w:rsid w:val="00A8388E"/>
    <w:rsid w:val="00A845F2"/>
    <w:rsid w:val="00A85EBB"/>
    <w:rsid w:val="00A8648E"/>
    <w:rsid w:val="00A87644"/>
    <w:rsid w:val="00A87894"/>
    <w:rsid w:val="00A90300"/>
    <w:rsid w:val="00A904D3"/>
    <w:rsid w:val="00A9233C"/>
    <w:rsid w:val="00A9261E"/>
    <w:rsid w:val="00A92BD1"/>
    <w:rsid w:val="00A92F12"/>
    <w:rsid w:val="00A93456"/>
    <w:rsid w:val="00A9487D"/>
    <w:rsid w:val="00A9609D"/>
    <w:rsid w:val="00A975E6"/>
    <w:rsid w:val="00A97A42"/>
    <w:rsid w:val="00AA01A4"/>
    <w:rsid w:val="00AA0740"/>
    <w:rsid w:val="00AA103B"/>
    <w:rsid w:val="00AA16A4"/>
    <w:rsid w:val="00AA2DC9"/>
    <w:rsid w:val="00AA2E22"/>
    <w:rsid w:val="00AA3172"/>
    <w:rsid w:val="00AA426B"/>
    <w:rsid w:val="00AA573F"/>
    <w:rsid w:val="00AA607E"/>
    <w:rsid w:val="00AA6234"/>
    <w:rsid w:val="00AA662E"/>
    <w:rsid w:val="00AA6A31"/>
    <w:rsid w:val="00AA6B58"/>
    <w:rsid w:val="00AA6FF3"/>
    <w:rsid w:val="00AA70B4"/>
    <w:rsid w:val="00AA7879"/>
    <w:rsid w:val="00AA7A61"/>
    <w:rsid w:val="00AA7F22"/>
    <w:rsid w:val="00AB0083"/>
    <w:rsid w:val="00AB0447"/>
    <w:rsid w:val="00AB1532"/>
    <w:rsid w:val="00AB2BDE"/>
    <w:rsid w:val="00AB368A"/>
    <w:rsid w:val="00AB4329"/>
    <w:rsid w:val="00AB51F2"/>
    <w:rsid w:val="00AB55A3"/>
    <w:rsid w:val="00AB5694"/>
    <w:rsid w:val="00AB59CA"/>
    <w:rsid w:val="00AB6467"/>
    <w:rsid w:val="00AB7741"/>
    <w:rsid w:val="00AB7BED"/>
    <w:rsid w:val="00AB7C18"/>
    <w:rsid w:val="00AC184A"/>
    <w:rsid w:val="00AC327E"/>
    <w:rsid w:val="00AC3580"/>
    <w:rsid w:val="00AC591A"/>
    <w:rsid w:val="00AC7342"/>
    <w:rsid w:val="00AC785D"/>
    <w:rsid w:val="00AC7A03"/>
    <w:rsid w:val="00AD238F"/>
    <w:rsid w:val="00AD2DAE"/>
    <w:rsid w:val="00AD2F52"/>
    <w:rsid w:val="00AD3B4B"/>
    <w:rsid w:val="00AD3E46"/>
    <w:rsid w:val="00AD4D35"/>
    <w:rsid w:val="00AD673E"/>
    <w:rsid w:val="00AE0E69"/>
    <w:rsid w:val="00AE0F21"/>
    <w:rsid w:val="00AE1688"/>
    <w:rsid w:val="00AE4EB3"/>
    <w:rsid w:val="00AE5091"/>
    <w:rsid w:val="00AE6769"/>
    <w:rsid w:val="00AE69BC"/>
    <w:rsid w:val="00AF16FC"/>
    <w:rsid w:val="00AF1BC6"/>
    <w:rsid w:val="00AF2AB4"/>
    <w:rsid w:val="00AF3328"/>
    <w:rsid w:val="00AF4271"/>
    <w:rsid w:val="00AF5D79"/>
    <w:rsid w:val="00AF6778"/>
    <w:rsid w:val="00AF77FE"/>
    <w:rsid w:val="00B02068"/>
    <w:rsid w:val="00B02264"/>
    <w:rsid w:val="00B036A6"/>
    <w:rsid w:val="00B03BD5"/>
    <w:rsid w:val="00B04477"/>
    <w:rsid w:val="00B07C0E"/>
    <w:rsid w:val="00B10BB1"/>
    <w:rsid w:val="00B12037"/>
    <w:rsid w:val="00B12152"/>
    <w:rsid w:val="00B12287"/>
    <w:rsid w:val="00B12899"/>
    <w:rsid w:val="00B14B74"/>
    <w:rsid w:val="00B14F17"/>
    <w:rsid w:val="00B166AC"/>
    <w:rsid w:val="00B16A4B"/>
    <w:rsid w:val="00B17D4B"/>
    <w:rsid w:val="00B203BC"/>
    <w:rsid w:val="00B20496"/>
    <w:rsid w:val="00B22205"/>
    <w:rsid w:val="00B222E4"/>
    <w:rsid w:val="00B24FC1"/>
    <w:rsid w:val="00B25A5F"/>
    <w:rsid w:val="00B26BC6"/>
    <w:rsid w:val="00B26BF3"/>
    <w:rsid w:val="00B26DB6"/>
    <w:rsid w:val="00B30FBB"/>
    <w:rsid w:val="00B3180F"/>
    <w:rsid w:val="00B322D2"/>
    <w:rsid w:val="00B32B4D"/>
    <w:rsid w:val="00B32C60"/>
    <w:rsid w:val="00B33B1E"/>
    <w:rsid w:val="00B3544F"/>
    <w:rsid w:val="00B35A5F"/>
    <w:rsid w:val="00B3619E"/>
    <w:rsid w:val="00B37531"/>
    <w:rsid w:val="00B404E7"/>
    <w:rsid w:val="00B40941"/>
    <w:rsid w:val="00B40A42"/>
    <w:rsid w:val="00B42644"/>
    <w:rsid w:val="00B4337F"/>
    <w:rsid w:val="00B439B2"/>
    <w:rsid w:val="00B44419"/>
    <w:rsid w:val="00B44A82"/>
    <w:rsid w:val="00B44FFC"/>
    <w:rsid w:val="00B4666D"/>
    <w:rsid w:val="00B4766A"/>
    <w:rsid w:val="00B50BE5"/>
    <w:rsid w:val="00B53637"/>
    <w:rsid w:val="00B53957"/>
    <w:rsid w:val="00B53AA0"/>
    <w:rsid w:val="00B53AE2"/>
    <w:rsid w:val="00B554F6"/>
    <w:rsid w:val="00B55809"/>
    <w:rsid w:val="00B560D9"/>
    <w:rsid w:val="00B57860"/>
    <w:rsid w:val="00B60484"/>
    <w:rsid w:val="00B60C93"/>
    <w:rsid w:val="00B61147"/>
    <w:rsid w:val="00B6154F"/>
    <w:rsid w:val="00B622A2"/>
    <w:rsid w:val="00B62E46"/>
    <w:rsid w:val="00B63111"/>
    <w:rsid w:val="00B63811"/>
    <w:rsid w:val="00B63904"/>
    <w:rsid w:val="00B63F50"/>
    <w:rsid w:val="00B66E70"/>
    <w:rsid w:val="00B66FC3"/>
    <w:rsid w:val="00B674FB"/>
    <w:rsid w:val="00B67CA5"/>
    <w:rsid w:val="00B67E6E"/>
    <w:rsid w:val="00B712DB"/>
    <w:rsid w:val="00B713ED"/>
    <w:rsid w:val="00B724F4"/>
    <w:rsid w:val="00B738C7"/>
    <w:rsid w:val="00B73A20"/>
    <w:rsid w:val="00B73DFC"/>
    <w:rsid w:val="00B751AB"/>
    <w:rsid w:val="00B75F0B"/>
    <w:rsid w:val="00B77CA3"/>
    <w:rsid w:val="00B80017"/>
    <w:rsid w:val="00B80272"/>
    <w:rsid w:val="00B81B89"/>
    <w:rsid w:val="00B82829"/>
    <w:rsid w:val="00B8333C"/>
    <w:rsid w:val="00B83EC7"/>
    <w:rsid w:val="00B856EC"/>
    <w:rsid w:val="00B8727E"/>
    <w:rsid w:val="00B903ED"/>
    <w:rsid w:val="00B90E72"/>
    <w:rsid w:val="00B913FE"/>
    <w:rsid w:val="00B91473"/>
    <w:rsid w:val="00B92A40"/>
    <w:rsid w:val="00B92C45"/>
    <w:rsid w:val="00B92CA8"/>
    <w:rsid w:val="00B93E44"/>
    <w:rsid w:val="00B960FF"/>
    <w:rsid w:val="00B969ED"/>
    <w:rsid w:val="00B96AEC"/>
    <w:rsid w:val="00B970C6"/>
    <w:rsid w:val="00B97824"/>
    <w:rsid w:val="00B97D99"/>
    <w:rsid w:val="00BA1247"/>
    <w:rsid w:val="00BA131D"/>
    <w:rsid w:val="00BA1973"/>
    <w:rsid w:val="00BA2051"/>
    <w:rsid w:val="00BA21EA"/>
    <w:rsid w:val="00BA2D00"/>
    <w:rsid w:val="00BA3018"/>
    <w:rsid w:val="00BA3676"/>
    <w:rsid w:val="00BA7748"/>
    <w:rsid w:val="00BA7AAF"/>
    <w:rsid w:val="00BA7D75"/>
    <w:rsid w:val="00BA7FEB"/>
    <w:rsid w:val="00BB163B"/>
    <w:rsid w:val="00BB1906"/>
    <w:rsid w:val="00BB1FCC"/>
    <w:rsid w:val="00BB218F"/>
    <w:rsid w:val="00BB23FA"/>
    <w:rsid w:val="00BB47CD"/>
    <w:rsid w:val="00BB48D2"/>
    <w:rsid w:val="00BB4B0C"/>
    <w:rsid w:val="00BB6117"/>
    <w:rsid w:val="00BB69DD"/>
    <w:rsid w:val="00BB7579"/>
    <w:rsid w:val="00BB790F"/>
    <w:rsid w:val="00BC03AA"/>
    <w:rsid w:val="00BC0772"/>
    <w:rsid w:val="00BC472F"/>
    <w:rsid w:val="00BC4C68"/>
    <w:rsid w:val="00BC4D77"/>
    <w:rsid w:val="00BC5AD8"/>
    <w:rsid w:val="00BC7C47"/>
    <w:rsid w:val="00BC7D99"/>
    <w:rsid w:val="00BD11B5"/>
    <w:rsid w:val="00BD1961"/>
    <w:rsid w:val="00BD2F2B"/>
    <w:rsid w:val="00BD2F64"/>
    <w:rsid w:val="00BD48CE"/>
    <w:rsid w:val="00BD5008"/>
    <w:rsid w:val="00BD5D00"/>
    <w:rsid w:val="00BD6386"/>
    <w:rsid w:val="00BD7040"/>
    <w:rsid w:val="00BE0220"/>
    <w:rsid w:val="00BE1F58"/>
    <w:rsid w:val="00BE3B30"/>
    <w:rsid w:val="00BE4CF5"/>
    <w:rsid w:val="00BE57B6"/>
    <w:rsid w:val="00BE57D7"/>
    <w:rsid w:val="00BE7643"/>
    <w:rsid w:val="00BE7B87"/>
    <w:rsid w:val="00BF0262"/>
    <w:rsid w:val="00BF05A4"/>
    <w:rsid w:val="00BF13DA"/>
    <w:rsid w:val="00BF1B33"/>
    <w:rsid w:val="00BF1EE5"/>
    <w:rsid w:val="00BF2E03"/>
    <w:rsid w:val="00BF3E99"/>
    <w:rsid w:val="00BF6179"/>
    <w:rsid w:val="00BF66BD"/>
    <w:rsid w:val="00BF768C"/>
    <w:rsid w:val="00C00502"/>
    <w:rsid w:val="00C00DFB"/>
    <w:rsid w:val="00C019B0"/>
    <w:rsid w:val="00C04017"/>
    <w:rsid w:val="00C04822"/>
    <w:rsid w:val="00C04A82"/>
    <w:rsid w:val="00C05181"/>
    <w:rsid w:val="00C06E96"/>
    <w:rsid w:val="00C07420"/>
    <w:rsid w:val="00C07704"/>
    <w:rsid w:val="00C10890"/>
    <w:rsid w:val="00C10A7C"/>
    <w:rsid w:val="00C11CCB"/>
    <w:rsid w:val="00C1220C"/>
    <w:rsid w:val="00C127FF"/>
    <w:rsid w:val="00C128D9"/>
    <w:rsid w:val="00C129E2"/>
    <w:rsid w:val="00C14174"/>
    <w:rsid w:val="00C14D0D"/>
    <w:rsid w:val="00C14E2F"/>
    <w:rsid w:val="00C15C10"/>
    <w:rsid w:val="00C17126"/>
    <w:rsid w:val="00C21843"/>
    <w:rsid w:val="00C26FE3"/>
    <w:rsid w:val="00C2713A"/>
    <w:rsid w:val="00C307C6"/>
    <w:rsid w:val="00C3237C"/>
    <w:rsid w:val="00C32E22"/>
    <w:rsid w:val="00C336EE"/>
    <w:rsid w:val="00C35461"/>
    <w:rsid w:val="00C36891"/>
    <w:rsid w:val="00C36E96"/>
    <w:rsid w:val="00C36FD8"/>
    <w:rsid w:val="00C37D9A"/>
    <w:rsid w:val="00C37F15"/>
    <w:rsid w:val="00C4039B"/>
    <w:rsid w:val="00C41EFB"/>
    <w:rsid w:val="00C42C9F"/>
    <w:rsid w:val="00C434E6"/>
    <w:rsid w:val="00C43F4F"/>
    <w:rsid w:val="00C5056B"/>
    <w:rsid w:val="00C50862"/>
    <w:rsid w:val="00C5103F"/>
    <w:rsid w:val="00C51196"/>
    <w:rsid w:val="00C51825"/>
    <w:rsid w:val="00C51B4F"/>
    <w:rsid w:val="00C532E3"/>
    <w:rsid w:val="00C54DFE"/>
    <w:rsid w:val="00C553E4"/>
    <w:rsid w:val="00C55849"/>
    <w:rsid w:val="00C56836"/>
    <w:rsid w:val="00C5758B"/>
    <w:rsid w:val="00C60A2D"/>
    <w:rsid w:val="00C61404"/>
    <w:rsid w:val="00C61546"/>
    <w:rsid w:val="00C6160C"/>
    <w:rsid w:val="00C6214A"/>
    <w:rsid w:val="00C623C7"/>
    <w:rsid w:val="00C62FFC"/>
    <w:rsid w:val="00C65924"/>
    <w:rsid w:val="00C66367"/>
    <w:rsid w:val="00C6671A"/>
    <w:rsid w:val="00C6677F"/>
    <w:rsid w:val="00C66EA9"/>
    <w:rsid w:val="00C67110"/>
    <w:rsid w:val="00C677A8"/>
    <w:rsid w:val="00C679B6"/>
    <w:rsid w:val="00C71FCC"/>
    <w:rsid w:val="00C72652"/>
    <w:rsid w:val="00C72E1E"/>
    <w:rsid w:val="00C73066"/>
    <w:rsid w:val="00C74E92"/>
    <w:rsid w:val="00C76286"/>
    <w:rsid w:val="00C76422"/>
    <w:rsid w:val="00C76F93"/>
    <w:rsid w:val="00C80410"/>
    <w:rsid w:val="00C80ED2"/>
    <w:rsid w:val="00C82B40"/>
    <w:rsid w:val="00C82DD2"/>
    <w:rsid w:val="00C838E4"/>
    <w:rsid w:val="00C8392E"/>
    <w:rsid w:val="00C842B1"/>
    <w:rsid w:val="00C85855"/>
    <w:rsid w:val="00C85D3B"/>
    <w:rsid w:val="00C86829"/>
    <w:rsid w:val="00C872E5"/>
    <w:rsid w:val="00C90F17"/>
    <w:rsid w:val="00C914F2"/>
    <w:rsid w:val="00C923B2"/>
    <w:rsid w:val="00C92CAB"/>
    <w:rsid w:val="00C932E7"/>
    <w:rsid w:val="00C94378"/>
    <w:rsid w:val="00C94EF5"/>
    <w:rsid w:val="00C9728B"/>
    <w:rsid w:val="00C973AB"/>
    <w:rsid w:val="00C974BB"/>
    <w:rsid w:val="00C9774A"/>
    <w:rsid w:val="00C97C6D"/>
    <w:rsid w:val="00C97E53"/>
    <w:rsid w:val="00CA0B68"/>
    <w:rsid w:val="00CA110B"/>
    <w:rsid w:val="00CA320A"/>
    <w:rsid w:val="00CA384E"/>
    <w:rsid w:val="00CA4271"/>
    <w:rsid w:val="00CA4F57"/>
    <w:rsid w:val="00CA5101"/>
    <w:rsid w:val="00CA541A"/>
    <w:rsid w:val="00CA5458"/>
    <w:rsid w:val="00CA5881"/>
    <w:rsid w:val="00CA5B4F"/>
    <w:rsid w:val="00CA60AA"/>
    <w:rsid w:val="00CB0CC6"/>
    <w:rsid w:val="00CB1BFF"/>
    <w:rsid w:val="00CB24D5"/>
    <w:rsid w:val="00CB2919"/>
    <w:rsid w:val="00CB2A3B"/>
    <w:rsid w:val="00CB2B44"/>
    <w:rsid w:val="00CB33A3"/>
    <w:rsid w:val="00CB49C8"/>
    <w:rsid w:val="00CB4B5A"/>
    <w:rsid w:val="00CC0857"/>
    <w:rsid w:val="00CC1537"/>
    <w:rsid w:val="00CC291F"/>
    <w:rsid w:val="00CC2E99"/>
    <w:rsid w:val="00CC3261"/>
    <w:rsid w:val="00CC3B5D"/>
    <w:rsid w:val="00CC3BB4"/>
    <w:rsid w:val="00CC3D81"/>
    <w:rsid w:val="00CC4475"/>
    <w:rsid w:val="00CC576E"/>
    <w:rsid w:val="00CC66DD"/>
    <w:rsid w:val="00CC6ABF"/>
    <w:rsid w:val="00CC76E9"/>
    <w:rsid w:val="00CD0C48"/>
    <w:rsid w:val="00CD133F"/>
    <w:rsid w:val="00CD2571"/>
    <w:rsid w:val="00CD3647"/>
    <w:rsid w:val="00CD3CB7"/>
    <w:rsid w:val="00CD3E6F"/>
    <w:rsid w:val="00CD4E1C"/>
    <w:rsid w:val="00CD5293"/>
    <w:rsid w:val="00CD5FAD"/>
    <w:rsid w:val="00CD63B7"/>
    <w:rsid w:val="00CD7A81"/>
    <w:rsid w:val="00CD7BB6"/>
    <w:rsid w:val="00CE0900"/>
    <w:rsid w:val="00CE0D82"/>
    <w:rsid w:val="00CE1938"/>
    <w:rsid w:val="00CE1CBD"/>
    <w:rsid w:val="00CE2085"/>
    <w:rsid w:val="00CE3001"/>
    <w:rsid w:val="00CE3042"/>
    <w:rsid w:val="00CE3100"/>
    <w:rsid w:val="00CE3C60"/>
    <w:rsid w:val="00CE3FEA"/>
    <w:rsid w:val="00CE4101"/>
    <w:rsid w:val="00CE4285"/>
    <w:rsid w:val="00CE446C"/>
    <w:rsid w:val="00CE4604"/>
    <w:rsid w:val="00CE5387"/>
    <w:rsid w:val="00CE5F59"/>
    <w:rsid w:val="00CE6050"/>
    <w:rsid w:val="00CE6E51"/>
    <w:rsid w:val="00CF02DC"/>
    <w:rsid w:val="00CF0E31"/>
    <w:rsid w:val="00CF1DBD"/>
    <w:rsid w:val="00CF1E9E"/>
    <w:rsid w:val="00CF2060"/>
    <w:rsid w:val="00CF3404"/>
    <w:rsid w:val="00CF369A"/>
    <w:rsid w:val="00CF4302"/>
    <w:rsid w:val="00CF527C"/>
    <w:rsid w:val="00CF54B8"/>
    <w:rsid w:val="00CF5901"/>
    <w:rsid w:val="00CF5B52"/>
    <w:rsid w:val="00CF5FE6"/>
    <w:rsid w:val="00CF7283"/>
    <w:rsid w:val="00CF7979"/>
    <w:rsid w:val="00CF79FD"/>
    <w:rsid w:val="00D0126C"/>
    <w:rsid w:val="00D01EE6"/>
    <w:rsid w:val="00D03518"/>
    <w:rsid w:val="00D03C50"/>
    <w:rsid w:val="00D04029"/>
    <w:rsid w:val="00D046F8"/>
    <w:rsid w:val="00D06578"/>
    <w:rsid w:val="00D10359"/>
    <w:rsid w:val="00D10B5E"/>
    <w:rsid w:val="00D11CE2"/>
    <w:rsid w:val="00D12757"/>
    <w:rsid w:val="00D1305D"/>
    <w:rsid w:val="00D13749"/>
    <w:rsid w:val="00D13FB1"/>
    <w:rsid w:val="00D14CC5"/>
    <w:rsid w:val="00D14F39"/>
    <w:rsid w:val="00D15F65"/>
    <w:rsid w:val="00D16F51"/>
    <w:rsid w:val="00D20D50"/>
    <w:rsid w:val="00D212C4"/>
    <w:rsid w:val="00D22AFA"/>
    <w:rsid w:val="00D22D88"/>
    <w:rsid w:val="00D25DB1"/>
    <w:rsid w:val="00D26AD8"/>
    <w:rsid w:val="00D31063"/>
    <w:rsid w:val="00D317A5"/>
    <w:rsid w:val="00D3328A"/>
    <w:rsid w:val="00D333F3"/>
    <w:rsid w:val="00D33A25"/>
    <w:rsid w:val="00D33B75"/>
    <w:rsid w:val="00D33EFF"/>
    <w:rsid w:val="00D34411"/>
    <w:rsid w:val="00D349D6"/>
    <w:rsid w:val="00D3555A"/>
    <w:rsid w:val="00D356D2"/>
    <w:rsid w:val="00D369A1"/>
    <w:rsid w:val="00D36B34"/>
    <w:rsid w:val="00D36ED9"/>
    <w:rsid w:val="00D3728E"/>
    <w:rsid w:val="00D40C2B"/>
    <w:rsid w:val="00D40F90"/>
    <w:rsid w:val="00D41E0C"/>
    <w:rsid w:val="00D422C6"/>
    <w:rsid w:val="00D42634"/>
    <w:rsid w:val="00D42C98"/>
    <w:rsid w:val="00D438DA"/>
    <w:rsid w:val="00D44B4B"/>
    <w:rsid w:val="00D45C78"/>
    <w:rsid w:val="00D45E0D"/>
    <w:rsid w:val="00D46372"/>
    <w:rsid w:val="00D502B2"/>
    <w:rsid w:val="00D50B8E"/>
    <w:rsid w:val="00D5107D"/>
    <w:rsid w:val="00D51867"/>
    <w:rsid w:val="00D51CD6"/>
    <w:rsid w:val="00D53379"/>
    <w:rsid w:val="00D537E8"/>
    <w:rsid w:val="00D546FC"/>
    <w:rsid w:val="00D54888"/>
    <w:rsid w:val="00D54945"/>
    <w:rsid w:val="00D550E9"/>
    <w:rsid w:val="00D56036"/>
    <w:rsid w:val="00D615F3"/>
    <w:rsid w:val="00D62698"/>
    <w:rsid w:val="00D633AB"/>
    <w:rsid w:val="00D633DB"/>
    <w:rsid w:val="00D65445"/>
    <w:rsid w:val="00D66072"/>
    <w:rsid w:val="00D6743A"/>
    <w:rsid w:val="00D6785F"/>
    <w:rsid w:val="00D67C45"/>
    <w:rsid w:val="00D70DC6"/>
    <w:rsid w:val="00D714E3"/>
    <w:rsid w:val="00D718BA"/>
    <w:rsid w:val="00D71B27"/>
    <w:rsid w:val="00D71C09"/>
    <w:rsid w:val="00D71D39"/>
    <w:rsid w:val="00D723C3"/>
    <w:rsid w:val="00D73670"/>
    <w:rsid w:val="00D73AF9"/>
    <w:rsid w:val="00D748B8"/>
    <w:rsid w:val="00D7646C"/>
    <w:rsid w:val="00D76AE5"/>
    <w:rsid w:val="00D76D57"/>
    <w:rsid w:val="00D77620"/>
    <w:rsid w:val="00D777BF"/>
    <w:rsid w:val="00D802A6"/>
    <w:rsid w:val="00D809A3"/>
    <w:rsid w:val="00D80ECE"/>
    <w:rsid w:val="00D8104A"/>
    <w:rsid w:val="00D83104"/>
    <w:rsid w:val="00D836DA"/>
    <w:rsid w:val="00D839EC"/>
    <w:rsid w:val="00D84656"/>
    <w:rsid w:val="00D858A7"/>
    <w:rsid w:val="00D859EB"/>
    <w:rsid w:val="00D85F15"/>
    <w:rsid w:val="00D866C4"/>
    <w:rsid w:val="00D866ED"/>
    <w:rsid w:val="00D86B29"/>
    <w:rsid w:val="00D87AE7"/>
    <w:rsid w:val="00D87EE0"/>
    <w:rsid w:val="00D907D5"/>
    <w:rsid w:val="00D90AF1"/>
    <w:rsid w:val="00D90FA4"/>
    <w:rsid w:val="00D926E6"/>
    <w:rsid w:val="00D9331B"/>
    <w:rsid w:val="00D943D2"/>
    <w:rsid w:val="00D94522"/>
    <w:rsid w:val="00D946BD"/>
    <w:rsid w:val="00D95743"/>
    <w:rsid w:val="00D96C25"/>
    <w:rsid w:val="00D972E2"/>
    <w:rsid w:val="00D9777B"/>
    <w:rsid w:val="00D97B3B"/>
    <w:rsid w:val="00D97EC7"/>
    <w:rsid w:val="00DA25FC"/>
    <w:rsid w:val="00DA29DB"/>
    <w:rsid w:val="00DA32FA"/>
    <w:rsid w:val="00DA350E"/>
    <w:rsid w:val="00DA3637"/>
    <w:rsid w:val="00DA3896"/>
    <w:rsid w:val="00DA4E33"/>
    <w:rsid w:val="00DA5142"/>
    <w:rsid w:val="00DA71D5"/>
    <w:rsid w:val="00DA7775"/>
    <w:rsid w:val="00DA7AD8"/>
    <w:rsid w:val="00DA7B76"/>
    <w:rsid w:val="00DB14DD"/>
    <w:rsid w:val="00DB298B"/>
    <w:rsid w:val="00DB2AB9"/>
    <w:rsid w:val="00DB3258"/>
    <w:rsid w:val="00DB37C0"/>
    <w:rsid w:val="00DB4B72"/>
    <w:rsid w:val="00DB4E2D"/>
    <w:rsid w:val="00DB662F"/>
    <w:rsid w:val="00DB6FAA"/>
    <w:rsid w:val="00DB77D4"/>
    <w:rsid w:val="00DC0A88"/>
    <w:rsid w:val="00DC33FD"/>
    <w:rsid w:val="00DC34C2"/>
    <w:rsid w:val="00DC37B8"/>
    <w:rsid w:val="00DC3857"/>
    <w:rsid w:val="00DC3AE5"/>
    <w:rsid w:val="00DC57BD"/>
    <w:rsid w:val="00DC5F9E"/>
    <w:rsid w:val="00DC6773"/>
    <w:rsid w:val="00DC7044"/>
    <w:rsid w:val="00DC7D2E"/>
    <w:rsid w:val="00DC7E1F"/>
    <w:rsid w:val="00DD0778"/>
    <w:rsid w:val="00DD1838"/>
    <w:rsid w:val="00DD1F37"/>
    <w:rsid w:val="00DD23E7"/>
    <w:rsid w:val="00DD2516"/>
    <w:rsid w:val="00DD2C7C"/>
    <w:rsid w:val="00DD33EA"/>
    <w:rsid w:val="00DD3556"/>
    <w:rsid w:val="00DD5726"/>
    <w:rsid w:val="00DD5FC6"/>
    <w:rsid w:val="00DD62F2"/>
    <w:rsid w:val="00DD759E"/>
    <w:rsid w:val="00DD7A18"/>
    <w:rsid w:val="00DD7BAB"/>
    <w:rsid w:val="00DE0279"/>
    <w:rsid w:val="00DE0415"/>
    <w:rsid w:val="00DE14BE"/>
    <w:rsid w:val="00DE1784"/>
    <w:rsid w:val="00DE1936"/>
    <w:rsid w:val="00DE2368"/>
    <w:rsid w:val="00DE2AAB"/>
    <w:rsid w:val="00DE2ABD"/>
    <w:rsid w:val="00DE30AB"/>
    <w:rsid w:val="00DE33C0"/>
    <w:rsid w:val="00DE3A0A"/>
    <w:rsid w:val="00DE4044"/>
    <w:rsid w:val="00DE5512"/>
    <w:rsid w:val="00DE5C5D"/>
    <w:rsid w:val="00DE7611"/>
    <w:rsid w:val="00DF0E9B"/>
    <w:rsid w:val="00DF11BA"/>
    <w:rsid w:val="00DF12C4"/>
    <w:rsid w:val="00DF266E"/>
    <w:rsid w:val="00DF280D"/>
    <w:rsid w:val="00DF2883"/>
    <w:rsid w:val="00DF2D50"/>
    <w:rsid w:val="00DF3C4F"/>
    <w:rsid w:val="00DF3CB2"/>
    <w:rsid w:val="00DF41DC"/>
    <w:rsid w:val="00DF42A0"/>
    <w:rsid w:val="00DF4A18"/>
    <w:rsid w:val="00DF5890"/>
    <w:rsid w:val="00DF6764"/>
    <w:rsid w:val="00DF6CCF"/>
    <w:rsid w:val="00E00309"/>
    <w:rsid w:val="00E0148E"/>
    <w:rsid w:val="00E019CC"/>
    <w:rsid w:val="00E01E58"/>
    <w:rsid w:val="00E02058"/>
    <w:rsid w:val="00E020D2"/>
    <w:rsid w:val="00E02D10"/>
    <w:rsid w:val="00E05EE7"/>
    <w:rsid w:val="00E06907"/>
    <w:rsid w:val="00E105DB"/>
    <w:rsid w:val="00E12F4B"/>
    <w:rsid w:val="00E14412"/>
    <w:rsid w:val="00E156FC"/>
    <w:rsid w:val="00E15EFA"/>
    <w:rsid w:val="00E16BE0"/>
    <w:rsid w:val="00E16ECC"/>
    <w:rsid w:val="00E17545"/>
    <w:rsid w:val="00E2044A"/>
    <w:rsid w:val="00E2077B"/>
    <w:rsid w:val="00E2178C"/>
    <w:rsid w:val="00E23672"/>
    <w:rsid w:val="00E2511E"/>
    <w:rsid w:val="00E261D8"/>
    <w:rsid w:val="00E2647E"/>
    <w:rsid w:val="00E27205"/>
    <w:rsid w:val="00E27B33"/>
    <w:rsid w:val="00E30BFE"/>
    <w:rsid w:val="00E30C9E"/>
    <w:rsid w:val="00E313DB"/>
    <w:rsid w:val="00E337E8"/>
    <w:rsid w:val="00E33D37"/>
    <w:rsid w:val="00E35202"/>
    <w:rsid w:val="00E3670B"/>
    <w:rsid w:val="00E36CF0"/>
    <w:rsid w:val="00E40742"/>
    <w:rsid w:val="00E40BCB"/>
    <w:rsid w:val="00E40C7D"/>
    <w:rsid w:val="00E42866"/>
    <w:rsid w:val="00E43353"/>
    <w:rsid w:val="00E44218"/>
    <w:rsid w:val="00E443A4"/>
    <w:rsid w:val="00E4449B"/>
    <w:rsid w:val="00E446E8"/>
    <w:rsid w:val="00E44A78"/>
    <w:rsid w:val="00E466D5"/>
    <w:rsid w:val="00E5167C"/>
    <w:rsid w:val="00E517F3"/>
    <w:rsid w:val="00E52651"/>
    <w:rsid w:val="00E54A74"/>
    <w:rsid w:val="00E54D2E"/>
    <w:rsid w:val="00E55C10"/>
    <w:rsid w:val="00E5656D"/>
    <w:rsid w:val="00E57382"/>
    <w:rsid w:val="00E603FF"/>
    <w:rsid w:val="00E60EF7"/>
    <w:rsid w:val="00E60FD6"/>
    <w:rsid w:val="00E6178B"/>
    <w:rsid w:val="00E61D3D"/>
    <w:rsid w:val="00E632BB"/>
    <w:rsid w:val="00E63A6F"/>
    <w:rsid w:val="00E63AC0"/>
    <w:rsid w:val="00E6487E"/>
    <w:rsid w:val="00E64CC1"/>
    <w:rsid w:val="00E64E71"/>
    <w:rsid w:val="00E64F34"/>
    <w:rsid w:val="00E6791F"/>
    <w:rsid w:val="00E67A76"/>
    <w:rsid w:val="00E67CE9"/>
    <w:rsid w:val="00E70005"/>
    <w:rsid w:val="00E7116C"/>
    <w:rsid w:val="00E71A74"/>
    <w:rsid w:val="00E73E1E"/>
    <w:rsid w:val="00E74324"/>
    <w:rsid w:val="00E75060"/>
    <w:rsid w:val="00E80D36"/>
    <w:rsid w:val="00E8132F"/>
    <w:rsid w:val="00E81368"/>
    <w:rsid w:val="00E81C17"/>
    <w:rsid w:val="00E8274D"/>
    <w:rsid w:val="00E82764"/>
    <w:rsid w:val="00E83F31"/>
    <w:rsid w:val="00E83FF4"/>
    <w:rsid w:val="00E84E35"/>
    <w:rsid w:val="00E8596A"/>
    <w:rsid w:val="00E87CD1"/>
    <w:rsid w:val="00E87DC4"/>
    <w:rsid w:val="00E916E6"/>
    <w:rsid w:val="00E91AB6"/>
    <w:rsid w:val="00E91E9E"/>
    <w:rsid w:val="00E921E8"/>
    <w:rsid w:val="00E9275F"/>
    <w:rsid w:val="00E92E8B"/>
    <w:rsid w:val="00E932A9"/>
    <w:rsid w:val="00E94899"/>
    <w:rsid w:val="00E9647A"/>
    <w:rsid w:val="00E969FC"/>
    <w:rsid w:val="00E96B81"/>
    <w:rsid w:val="00E96F34"/>
    <w:rsid w:val="00E97EEC"/>
    <w:rsid w:val="00EA1540"/>
    <w:rsid w:val="00EA15C8"/>
    <w:rsid w:val="00EA2570"/>
    <w:rsid w:val="00EA26A6"/>
    <w:rsid w:val="00EA2D2D"/>
    <w:rsid w:val="00EA335C"/>
    <w:rsid w:val="00EA4783"/>
    <w:rsid w:val="00EA4C7C"/>
    <w:rsid w:val="00EA5616"/>
    <w:rsid w:val="00EA587A"/>
    <w:rsid w:val="00EA6E0A"/>
    <w:rsid w:val="00EA7D02"/>
    <w:rsid w:val="00EB1072"/>
    <w:rsid w:val="00EB10F3"/>
    <w:rsid w:val="00EB185A"/>
    <w:rsid w:val="00EB1FEC"/>
    <w:rsid w:val="00EB3135"/>
    <w:rsid w:val="00EB4037"/>
    <w:rsid w:val="00EB64C4"/>
    <w:rsid w:val="00EB6DA8"/>
    <w:rsid w:val="00EC158E"/>
    <w:rsid w:val="00EC3A4E"/>
    <w:rsid w:val="00EC3CA3"/>
    <w:rsid w:val="00EC496E"/>
    <w:rsid w:val="00EC524B"/>
    <w:rsid w:val="00EC5FF9"/>
    <w:rsid w:val="00EC6884"/>
    <w:rsid w:val="00EC69C3"/>
    <w:rsid w:val="00ED0CA3"/>
    <w:rsid w:val="00ED0EE9"/>
    <w:rsid w:val="00ED2030"/>
    <w:rsid w:val="00ED2976"/>
    <w:rsid w:val="00ED2E2D"/>
    <w:rsid w:val="00ED43E0"/>
    <w:rsid w:val="00ED4512"/>
    <w:rsid w:val="00ED4621"/>
    <w:rsid w:val="00ED50DE"/>
    <w:rsid w:val="00ED53FC"/>
    <w:rsid w:val="00ED6309"/>
    <w:rsid w:val="00ED7A5A"/>
    <w:rsid w:val="00ED7BC5"/>
    <w:rsid w:val="00EE067E"/>
    <w:rsid w:val="00EE147A"/>
    <w:rsid w:val="00EE2130"/>
    <w:rsid w:val="00EE2E1B"/>
    <w:rsid w:val="00EE3B16"/>
    <w:rsid w:val="00EE3D49"/>
    <w:rsid w:val="00EE4F9A"/>
    <w:rsid w:val="00EE7091"/>
    <w:rsid w:val="00EE7523"/>
    <w:rsid w:val="00EF178B"/>
    <w:rsid w:val="00EF204F"/>
    <w:rsid w:val="00EF2E05"/>
    <w:rsid w:val="00EF31FF"/>
    <w:rsid w:val="00EF35DF"/>
    <w:rsid w:val="00EF56E5"/>
    <w:rsid w:val="00EF5B29"/>
    <w:rsid w:val="00EF6C26"/>
    <w:rsid w:val="00F021E0"/>
    <w:rsid w:val="00F026B7"/>
    <w:rsid w:val="00F02747"/>
    <w:rsid w:val="00F02C9E"/>
    <w:rsid w:val="00F03924"/>
    <w:rsid w:val="00F053E1"/>
    <w:rsid w:val="00F10110"/>
    <w:rsid w:val="00F10A6C"/>
    <w:rsid w:val="00F10B95"/>
    <w:rsid w:val="00F11087"/>
    <w:rsid w:val="00F1186A"/>
    <w:rsid w:val="00F119EB"/>
    <w:rsid w:val="00F11C7E"/>
    <w:rsid w:val="00F1204C"/>
    <w:rsid w:val="00F124B4"/>
    <w:rsid w:val="00F12970"/>
    <w:rsid w:val="00F137AF"/>
    <w:rsid w:val="00F13D4F"/>
    <w:rsid w:val="00F16571"/>
    <w:rsid w:val="00F17D26"/>
    <w:rsid w:val="00F20443"/>
    <w:rsid w:val="00F20794"/>
    <w:rsid w:val="00F20AA8"/>
    <w:rsid w:val="00F20B97"/>
    <w:rsid w:val="00F24672"/>
    <w:rsid w:val="00F26051"/>
    <w:rsid w:val="00F26FB7"/>
    <w:rsid w:val="00F271AB"/>
    <w:rsid w:val="00F303D7"/>
    <w:rsid w:val="00F305B1"/>
    <w:rsid w:val="00F30D79"/>
    <w:rsid w:val="00F31626"/>
    <w:rsid w:val="00F319FD"/>
    <w:rsid w:val="00F3262C"/>
    <w:rsid w:val="00F35C76"/>
    <w:rsid w:val="00F35D31"/>
    <w:rsid w:val="00F36205"/>
    <w:rsid w:val="00F365BF"/>
    <w:rsid w:val="00F36A4E"/>
    <w:rsid w:val="00F36BDF"/>
    <w:rsid w:val="00F37C39"/>
    <w:rsid w:val="00F40021"/>
    <w:rsid w:val="00F400E4"/>
    <w:rsid w:val="00F40E71"/>
    <w:rsid w:val="00F40EF0"/>
    <w:rsid w:val="00F417FC"/>
    <w:rsid w:val="00F41890"/>
    <w:rsid w:val="00F42545"/>
    <w:rsid w:val="00F43D2F"/>
    <w:rsid w:val="00F44361"/>
    <w:rsid w:val="00F44633"/>
    <w:rsid w:val="00F46350"/>
    <w:rsid w:val="00F46C3A"/>
    <w:rsid w:val="00F506C0"/>
    <w:rsid w:val="00F50AF8"/>
    <w:rsid w:val="00F5135F"/>
    <w:rsid w:val="00F5148E"/>
    <w:rsid w:val="00F532D3"/>
    <w:rsid w:val="00F53325"/>
    <w:rsid w:val="00F536DB"/>
    <w:rsid w:val="00F542C7"/>
    <w:rsid w:val="00F556E6"/>
    <w:rsid w:val="00F557B7"/>
    <w:rsid w:val="00F55805"/>
    <w:rsid w:val="00F559FF"/>
    <w:rsid w:val="00F578A3"/>
    <w:rsid w:val="00F606A3"/>
    <w:rsid w:val="00F60FA8"/>
    <w:rsid w:val="00F612DE"/>
    <w:rsid w:val="00F62B36"/>
    <w:rsid w:val="00F642A5"/>
    <w:rsid w:val="00F64C00"/>
    <w:rsid w:val="00F660B5"/>
    <w:rsid w:val="00F663E4"/>
    <w:rsid w:val="00F66FCC"/>
    <w:rsid w:val="00F6734E"/>
    <w:rsid w:val="00F6746F"/>
    <w:rsid w:val="00F707EF"/>
    <w:rsid w:val="00F70840"/>
    <w:rsid w:val="00F712A0"/>
    <w:rsid w:val="00F71A28"/>
    <w:rsid w:val="00F71AEF"/>
    <w:rsid w:val="00F74A4F"/>
    <w:rsid w:val="00F74FDA"/>
    <w:rsid w:val="00F750DA"/>
    <w:rsid w:val="00F7578B"/>
    <w:rsid w:val="00F75D52"/>
    <w:rsid w:val="00F761BB"/>
    <w:rsid w:val="00F77183"/>
    <w:rsid w:val="00F80350"/>
    <w:rsid w:val="00F824AE"/>
    <w:rsid w:val="00F82A9A"/>
    <w:rsid w:val="00F833FB"/>
    <w:rsid w:val="00F84068"/>
    <w:rsid w:val="00F84387"/>
    <w:rsid w:val="00F85CA4"/>
    <w:rsid w:val="00F86279"/>
    <w:rsid w:val="00F86A0A"/>
    <w:rsid w:val="00F90420"/>
    <w:rsid w:val="00F913A2"/>
    <w:rsid w:val="00F91714"/>
    <w:rsid w:val="00F91957"/>
    <w:rsid w:val="00F92347"/>
    <w:rsid w:val="00F939E0"/>
    <w:rsid w:val="00F9440C"/>
    <w:rsid w:val="00F948D9"/>
    <w:rsid w:val="00F95260"/>
    <w:rsid w:val="00F952B5"/>
    <w:rsid w:val="00F95CD4"/>
    <w:rsid w:val="00F97152"/>
    <w:rsid w:val="00F97C1D"/>
    <w:rsid w:val="00F97DC8"/>
    <w:rsid w:val="00F97FF4"/>
    <w:rsid w:val="00FA05C4"/>
    <w:rsid w:val="00FA0D44"/>
    <w:rsid w:val="00FA1398"/>
    <w:rsid w:val="00FA1F70"/>
    <w:rsid w:val="00FA2819"/>
    <w:rsid w:val="00FA2EC5"/>
    <w:rsid w:val="00FA31D2"/>
    <w:rsid w:val="00FA3B2F"/>
    <w:rsid w:val="00FA428A"/>
    <w:rsid w:val="00FA6617"/>
    <w:rsid w:val="00FA7785"/>
    <w:rsid w:val="00FA7CBD"/>
    <w:rsid w:val="00FB08D5"/>
    <w:rsid w:val="00FB1A1F"/>
    <w:rsid w:val="00FB1D51"/>
    <w:rsid w:val="00FB23F9"/>
    <w:rsid w:val="00FB3CD4"/>
    <w:rsid w:val="00FB4E8A"/>
    <w:rsid w:val="00FB54B0"/>
    <w:rsid w:val="00FB6AC6"/>
    <w:rsid w:val="00FB714C"/>
    <w:rsid w:val="00FB7930"/>
    <w:rsid w:val="00FC037D"/>
    <w:rsid w:val="00FC2ADB"/>
    <w:rsid w:val="00FC48A3"/>
    <w:rsid w:val="00FC4D5A"/>
    <w:rsid w:val="00FC4E5E"/>
    <w:rsid w:val="00FC4F68"/>
    <w:rsid w:val="00FC55A2"/>
    <w:rsid w:val="00FC5860"/>
    <w:rsid w:val="00FC5CA9"/>
    <w:rsid w:val="00FC7F96"/>
    <w:rsid w:val="00FD3313"/>
    <w:rsid w:val="00FD38A2"/>
    <w:rsid w:val="00FD4A7E"/>
    <w:rsid w:val="00FD4C0B"/>
    <w:rsid w:val="00FD5C2E"/>
    <w:rsid w:val="00FD5EF3"/>
    <w:rsid w:val="00FD7081"/>
    <w:rsid w:val="00FE1917"/>
    <w:rsid w:val="00FE2210"/>
    <w:rsid w:val="00FE3739"/>
    <w:rsid w:val="00FE3796"/>
    <w:rsid w:val="00FE3DEF"/>
    <w:rsid w:val="00FE4B95"/>
    <w:rsid w:val="00FE4EBF"/>
    <w:rsid w:val="00FE6BD0"/>
    <w:rsid w:val="00FE7AF4"/>
    <w:rsid w:val="00FF049A"/>
    <w:rsid w:val="00FF09C5"/>
    <w:rsid w:val="00FF0E3B"/>
    <w:rsid w:val="00FF0EE8"/>
    <w:rsid w:val="00FF1291"/>
    <w:rsid w:val="00FF3DB0"/>
    <w:rsid w:val="00FF4042"/>
    <w:rsid w:val="00FF603A"/>
    <w:rsid w:val="00FF6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2E7B56"/>
  <w15:chartTrackingRefBased/>
  <w15:docId w15:val="{A49A5398-7FC7-45ED-8ADA-EC3A142F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1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iPriority="7"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E27205"/>
    <w:pPr>
      <w:spacing w:after="0" w:line="240" w:lineRule="auto"/>
    </w:pPr>
    <w:rPr>
      <w:rFonts w:eastAsiaTheme="minorEastAsia"/>
      <w:szCs w:val="28"/>
      <w:lang w:eastAsia="zh-CN"/>
    </w:rPr>
  </w:style>
  <w:style w:type="paragraph" w:styleId="Heading1">
    <w:name w:val="heading 1"/>
    <w:basedOn w:val="Normal"/>
    <w:next w:val="BodyText"/>
    <w:link w:val="Heading1Char"/>
    <w:qFormat/>
    <w:rsid w:val="00E27205"/>
    <w:pPr>
      <w:keepNext/>
      <w:numPr>
        <w:numId w:val="21"/>
      </w:numPr>
      <w:spacing w:after="180" w:line="260" w:lineRule="atLeast"/>
      <w:outlineLvl w:val="0"/>
    </w:pPr>
    <w:rPr>
      <w:rFonts w:asciiTheme="majorHAnsi" w:eastAsiaTheme="majorEastAsia" w:hAnsiTheme="majorHAnsi" w:cstheme="majorHAnsi"/>
      <w:b/>
      <w:bCs/>
    </w:rPr>
  </w:style>
  <w:style w:type="paragraph" w:styleId="Heading2">
    <w:name w:val="heading 2"/>
    <w:basedOn w:val="Normal"/>
    <w:next w:val="BodyText"/>
    <w:link w:val="Heading2Char"/>
    <w:qFormat/>
    <w:rsid w:val="00E27205"/>
    <w:pPr>
      <w:keepNext/>
      <w:numPr>
        <w:ilvl w:val="1"/>
        <w:numId w:val="21"/>
      </w:numPr>
      <w:spacing w:after="180" w:line="260" w:lineRule="atLeast"/>
      <w:outlineLvl w:val="1"/>
    </w:pPr>
    <w:rPr>
      <w:rFonts w:asciiTheme="majorHAnsi" w:eastAsiaTheme="majorEastAsia" w:hAnsiTheme="majorHAnsi" w:cstheme="majorHAnsi"/>
      <w:b/>
      <w:bCs/>
    </w:rPr>
  </w:style>
  <w:style w:type="paragraph" w:styleId="Heading3">
    <w:name w:val="heading 3"/>
    <w:basedOn w:val="Normal"/>
    <w:link w:val="Heading3Char"/>
    <w:qFormat/>
    <w:rsid w:val="00E27205"/>
    <w:pPr>
      <w:numPr>
        <w:ilvl w:val="2"/>
        <w:numId w:val="21"/>
      </w:numPr>
      <w:spacing w:after="180" w:line="260" w:lineRule="atLeast"/>
      <w:outlineLvl w:val="2"/>
    </w:pPr>
  </w:style>
  <w:style w:type="paragraph" w:styleId="Heading4">
    <w:name w:val="heading 4"/>
    <w:basedOn w:val="Normal"/>
    <w:link w:val="Heading4Char"/>
    <w:qFormat/>
    <w:rsid w:val="00E27205"/>
    <w:pPr>
      <w:numPr>
        <w:ilvl w:val="3"/>
        <w:numId w:val="21"/>
      </w:numPr>
      <w:spacing w:after="180" w:line="260" w:lineRule="atLeast"/>
      <w:outlineLvl w:val="3"/>
    </w:pPr>
  </w:style>
  <w:style w:type="paragraph" w:styleId="Heading5">
    <w:name w:val="heading 5"/>
    <w:basedOn w:val="Normal"/>
    <w:link w:val="Heading5Char"/>
    <w:qFormat/>
    <w:rsid w:val="00E27205"/>
    <w:pPr>
      <w:numPr>
        <w:ilvl w:val="4"/>
        <w:numId w:val="21"/>
      </w:numPr>
      <w:spacing w:after="180" w:line="260" w:lineRule="atLeast"/>
      <w:outlineLvl w:val="4"/>
    </w:pPr>
  </w:style>
  <w:style w:type="paragraph" w:styleId="Heading6">
    <w:name w:val="heading 6"/>
    <w:basedOn w:val="Normal"/>
    <w:link w:val="Heading6Char"/>
    <w:qFormat/>
    <w:rsid w:val="00E27205"/>
    <w:pPr>
      <w:numPr>
        <w:ilvl w:val="5"/>
        <w:numId w:val="21"/>
      </w:numPr>
      <w:spacing w:after="180" w:line="260" w:lineRule="atLeast"/>
      <w:outlineLvl w:val="5"/>
    </w:pPr>
  </w:style>
  <w:style w:type="paragraph" w:styleId="Heading7">
    <w:name w:val="heading 7"/>
    <w:basedOn w:val="Normal"/>
    <w:link w:val="Heading7Char"/>
    <w:qFormat/>
    <w:rsid w:val="00E27205"/>
    <w:pPr>
      <w:numPr>
        <w:ilvl w:val="6"/>
        <w:numId w:val="21"/>
      </w:numPr>
      <w:spacing w:after="180" w:line="260" w:lineRule="atLeast"/>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Normal"/>
    <w:uiPriority w:val="8"/>
    <w:qFormat/>
    <w:rsid w:val="00E27205"/>
    <w:pPr>
      <w:numPr>
        <w:numId w:val="1"/>
      </w:numPr>
      <w:spacing w:after="180" w:line="260" w:lineRule="atLeast"/>
    </w:pPr>
  </w:style>
  <w:style w:type="paragraph" w:customStyle="1" w:styleId="Bullet2">
    <w:name w:val="Bullet 2"/>
    <w:basedOn w:val="Normal"/>
    <w:uiPriority w:val="8"/>
    <w:qFormat/>
    <w:rsid w:val="00E27205"/>
    <w:pPr>
      <w:numPr>
        <w:numId w:val="2"/>
      </w:numPr>
      <w:spacing w:line="260" w:lineRule="atLeast"/>
    </w:pPr>
  </w:style>
  <w:style w:type="numbering" w:customStyle="1" w:styleId="BMDefinitions">
    <w:name w:val="B&amp;M Definitions"/>
    <w:uiPriority w:val="99"/>
    <w:rsid w:val="00E27205"/>
    <w:pPr>
      <w:numPr>
        <w:numId w:val="3"/>
      </w:numPr>
    </w:pPr>
  </w:style>
  <w:style w:type="numbering" w:customStyle="1" w:styleId="BMHeadings">
    <w:name w:val="B&amp;M Headings"/>
    <w:uiPriority w:val="99"/>
    <w:rsid w:val="00E27205"/>
    <w:pPr>
      <w:numPr>
        <w:numId w:val="4"/>
      </w:numPr>
    </w:pPr>
  </w:style>
  <w:style w:type="numbering" w:customStyle="1" w:styleId="BMListNumbers">
    <w:name w:val="B&amp;M List Numbers"/>
    <w:uiPriority w:val="99"/>
    <w:rsid w:val="00E27205"/>
    <w:pPr>
      <w:numPr>
        <w:numId w:val="5"/>
      </w:numPr>
    </w:pPr>
  </w:style>
  <w:style w:type="numbering" w:customStyle="1" w:styleId="BMSchedules">
    <w:name w:val="B&amp;M Schedules"/>
    <w:uiPriority w:val="99"/>
    <w:rsid w:val="00E27205"/>
    <w:pPr>
      <w:numPr>
        <w:numId w:val="6"/>
      </w:numPr>
    </w:pPr>
  </w:style>
  <w:style w:type="paragraph" w:customStyle="1" w:styleId="BMKAddressInfo">
    <w:name w:val="BMK Address Info"/>
    <w:link w:val="BMKAddressInfoChar"/>
    <w:semiHidden/>
    <w:rsid w:val="00E27205"/>
    <w:pPr>
      <w:spacing w:after="0" w:line="240" w:lineRule="auto"/>
    </w:pPr>
    <w:rPr>
      <w:rFonts w:ascii="Arial" w:eastAsia="PMingLiU" w:hAnsi="Arial"/>
      <w:bCs/>
      <w:noProof/>
      <w:sz w:val="16"/>
      <w:lang w:val="en-AU" w:eastAsia="zh-CN"/>
    </w:rPr>
  </w:style>
  <w:style w:type="character" w:customStyle="1" w:styleId="BMKAddressInfoChar">
    <w:name w:val="BMK Address Info Char"/>
    <w:link w:val="BMKAddressInfo"/>
    <w:semiHidden/>
    <w:rsid w:val="00E27205"/>
    <w:rPr>
      <w:rFonts w:ascii="Arial" w:eastAsia="PMingLiU" w:hAnsi="Arial"/>
      <w:bCs/>
      <w:noProof/>
      <w:sz w:val="16"/>
      <w:lang w:val="en-AU" w:eastAsia="zh-CN"/>
    </w:rPr>
  </w:style>
  <w:style w:type="paragraph" w:customStyle="1" w:styleId="BMKAddress1">
    <w:name w:val="BMK Address1"/>
    <w:basedOn w:val="Normal"/>
    <w:semiHidden/>
    <w:rsid w:val="00E27205"/>
    <w:pPr>
      <w:spacing w:line="260" w:lineRule="atLeast"/>
    </w:pPr>
  </w:style>
  <w:style w:type="paragraph" w:customStyle="1" w:styleId="BMKAttention">
    <w:name w:val="BMK Attention"/>
    <w:basedOn w:val="Normal"/>
    <w:semiHidden/>
    <w:rsid w:val="00E27205"/>
    <w:pPr>
      <w:spacing w:line="260" w:lineRule="atLeast"/>
    </w:pPr>
  </w:style>
  <w:style w:type="paragraph" w:customStyle="1" w:styleId="BMKCities">
    <w:name w:val="BMK Cities"/>
    <w:semiHidden/>
    <w:rsid w:val="00E27205"/>
    <w:pPr>
      <w:spacing w:after="0" w:line="240" w:lineRule="auto"/>
    </w:pPr>
    <w:rPr>
      <w:rFonts w:ascii="Arial" w:eastAsia="PMingLiU" w:hAnsi="Arial"/>
      <w:noProof/>
      <w:spacing w:val="2"/>
      <w:sz w:val="11"/>
      <w:szCs w:val="11"/>
      <w:lang w:val="en-AU" w:eastAsia="zh-CN"/>
    </w:rPr>
  </w:style>
  <w:style w:type="paragraph" w:customStyle="1" w:styleId="BMKCitiesSpace">
    <w:name w:val="BMK Cities Space"/>
    <w:basedOn w:val="BMKCities"/>
    <w:semiHidden/>
    <w:rsid w:val="00E27205"/>
  </w:style>
  <w:style w:type="paragraph" w:customStyle="1" w:styleId="BMKDeliveryPhrase">
    <w:name w:val="BMK Delivery Phrase"/>
    <w:basedOn w:val="BMKAddressInfo"/>
    <w:semiHidden/>
    <w:rsid w:val="00E27205"/>
    <w:pPr>
      <w:framePr w:w="2943" w:h="1734" w:hRule="exact" w:wrap="around" w:vAnchor="text" w:hAnchor="page" w:x="8533" w:y="208"/>
      <w:ind w:left="57"/>
    </w:pPr>
    <w:rPr>
      <w:b/>
    </w:rPr>
  </w:style>
  <w:style w:type="paragraph" w:customStyle="1" w:styleId="BMKDocumentName">
    <w:name w:val="BMK Document Name"/>
    <w:basedOn w:val="Normal"/>
    <w:next w:val="Normal"/>
    <w:semiHidden/>
    <w:rsid w:val="00E27205"/>
    <w:pPr>
      <w:tabs>
        <w:tab w:val="left" w:pos="2761"/>
        <w:tab w:val="left" w:pos="3470"/>
        <w:tab w:val="left" w:pos="4179"/>
        <w:tab w:val="left" w:pos="4888"/>
        <w:tab w:val="right" w:pos="9849"/>
      </w:tabs>
      <w:spacing w:line="200" w:lineRule="atLeast"/>
    </w:pPr>
    <w:rPr>
      <w:rFonts w:ascii="Arial Black" w:hAnsi="Arial Black"/>
      <w:bCs/>
      <w:noProof/>
      <w:sz w:val="18"/>
    </w:rPr>
  </w:style>
  <w:style w:type="paragraph" w:customStyle="1" w:styleId="BMKDocumentNameHK">
    <w:name w:val="BMK Document Name HK"/>
    <w:basedOn w:val="Normal"/>
    <w:next w:val="Normal"/>
    <w:semiHidden/>
    <w:rsid w:val="00E27205"/>
    <w:pPr>
      <w:spacing w:line="200" w:lineRule="atLeast"/>
    </w:pPr>
    <w:rPr>
      <w:rFonts w:ascii="Arial Black" w:eastAsiaTheme="majorEastAsia" w:hAnsi="Arial Black" w:cstheme="majorHAnsi"/>
      <w:noProof/>
      <w:sz w:val="18"/>
      <w:szCs w:val="32"/>
    </w:rPr>
  </w:style>
  <w:style w:type="paragraph" w:customStyle="1" w:styleId="BMKLegalNoticePhrase">
    <w:name w:val="BMK Legal Notice Phrase"/>
    <w:basedOn w:val="Normal"/>
    <w:semiHidden/>
    <w:rsid w:val="00E27205"/>
    <w:pPr>
      <w:spacing w:before="260" w:after="180" w:line="260" w:lineRule="atLeast"/>
    </w:pPr>
    <w:rPr>
      <w:rFonts w:asciiTheme="majorHAnsi" w:eastAsiaTheme="majorEastAsia" w:hAnsiTheme="majorHAnsi" w:cstheme="majorHAnsi"/>
      <w:b/>
      <w:caps/>
    </w:rPr>
  </w:style>
  <w:style w:type="paragraph" w:customStyle="1" w:styleId="BMKLetterCaption">
    <w:name w:val="BMK LetterCaption"/>
    <w:basedOn w:val="BMKLegalNoticePhrase"/>
    <w:next w:val="Normal"/>
    <w:semiHidden/>
    <w:rsid w:val="00E27205"/>
    <w:pPr>
      <w:spacing w:before="0"/>
    </w:pPr>
  </w:style>
  <w:style w:type="paragraph" w:customStyle="1" w:styleId="BMKMemberFirmName">
    <w:name w:val="BMK Member Firm Name"/>
    <w:basedOn w:val="BMKAddressInfo"/>
    <w:next w:val="BMKAddressInfo"/>
    <w:link w:val="BMKMemberFirmNameChar"/>
    <w:semiHidden/>
    <w:rsid w:val="00E27205"/>
    <w:rPr>
      <w:b/>
    </w:rPr>
  </w:style>
  <w:style w:type="character" w:customStyle="1" w:styleId="BMKMemberFirmNameChar">
    <w:name w:val="BMK Member Firm Name Char"/>
    <w:link w:val="BMKMemberFirmName"/>
    <w:semiHidden/>
    <w:rsid w:val="00E27205"/>
    <w:rPr>
      <w:rFonts w:ascii="Arial" w:eastAsia="PMingLiU" w:hAnsi="Arial"/>
      <w:b/>
      <w:bCs/>
      <w:noProof/>
      <w:sz w:val="16"/>
      <w:lang w:val="en-AU" w:eastAsia="zh-CN"/>
    </w:rPr>
  </w:style>
  <w:style w:type="paragraph" w:customStyle="1" w:styleId="BMKMultiOffice">
    <w:name w:val="BMK Multi Office"/>
    <w:basedOn w:val="Normal"/>
    <w:next w:val="Normal"/>
    <w:semiHidden/>
    <w:rsid w:val="00E27205"/>
    <w:rPr>
      <w:rFonts w:ascii="Arial Black" w:eastAsia="PMingLiU" w:hAnsi="Arial Black"/>
      <w:noProof/>
      <w:spacing w:val="2"/>
      <w:sz w:val="11"/>
      <w:szCs w:val="24"/>
    </w:rPr>
  </w:style>
  <w:style w:type="paragraph" w:customStyle="1" w:styleId="BMKMultiOfficeAddress">
    <w:name w:val="BMK Multi Office Address"/>
    <w:basedOn w:val="BMKCities"/>
    <w:semiHidden/>
    <w:rsid w:val="00E27205"/>
  </w:style>
  <w:style w:type="paragraph" w:customStyle="1" w:styleId="BMKPartnerList">
    <w:name w:val="BMK Partner List"/>
    <w:basedOn w:val="BMKCities"/>
    <w:semiHidden/>
    <w:rsid w:val="00E27205"/>
    <w:pPr>
      <w:adjustRightInd w:val="0"/>
      <w:snapToGrid w:val="0"/>
      <w:spacing w:after="20"/>
    </w:pPr>
    <w:rPr>
      <w:rFonts w:cs="Arial"/>
      <w:caps/>
      <w:spacing w:val="0"/>
      <w:sz w:val="9"/>
      <w:szCs w:val="12"/>
    </w:rPr>
  </w:style>
  <w:style w:type="paragraph" w:customStyle="1" w:styleId="BMKPrivacyText">
    <w:name w:val="BMK Privacy Text"/>
    <w:basedOn w:val="Footer"/>
    <w:link w:val="BMKPrivacyTextChar"/>
    <w:semiHidden/>
    <w:rsid w:val="00E27205"/>
  </w:style>
  <w:style w:type="character" w:customStyle="1" w:styleId="BMKPrivacyTextChar">
    <w:name w:val="BMK Privacy Text Char"/>
    <w:link w:val="BMKPrivacyText"/>
    <w:semiHidden/>
    <w:rsid w:val="00E27205"/>
    <w:rPr>
      <w:rFonts w:asciiTheme="majorHAnsi" w:eastAsiaTheme="majorEastAsia" w:hAnsiTheme="majorHAnsi" w:cstheme="majorHAnsi"/>
      <w:noProof/>
      <w:sz w:val="16"/>
      <w:lang w:val="en-AU" w:eastAsia="zh-CN"/>
    </w:rPr>
  </w:style>
  <w:style w:type="paragraph" w:styleId="Footer">
    <w:name w:val="footer"/>
    <w:basedOn w:val="Normal"/>
    <w:link w:val="FooterChar"/>
    <w:uiPriority w:val="99"/>
    <w:rsid w:val="00E27205"/>
    <w:pPr>
      <w:tabs>
        <w:tab w:val="right" w:pos="9350"/>
      </w:tabs>
      <w:spacing w:line="200" w:lineRule="atLeast"/>
    </w:pPr>
    <w:rPr>
      <w:rFonts w:asciiTheme="majorHAnsi" w:eastAsiaTheme="majorEastAsia" w:hAnsiTheme="majorHAnsi" w:cstheme="majorHAnsi"/>
      <w:noProof/>
      <w:sz w:val="16"/>
    </w:rPr>
  </w:style>
  <w:style w:type="character" w:customStyle="1" w:styleId="FooterChar">
    <w:name w:val="Footer Char"/>
    <w:link w:val="Footer"/>
    <w:uiPriority w:val="99"/>
    <w:rsid w:val="00E27205"/>
    <w:rPr>
      <w:rFonts w:asciiTheme="majorHAnsi" w:eastAsiaTheme="majorEastAsia" w:hAnsiTheme="majorHAnsi" w:cstheme="majorHAnsi"/>
      <w:noProof/>
      <w:sz w:val="16"/>
      <w:lang w:val="en-AU" w:eastAsia="zh-CN"/>
    </w:rPr>
  </w:style>
  <w:style w:type="paragraph" w:customStyle="1" w:styleId="BMKPrivacyTitle">
    <w:name w:val="BMK Privacy Title"/>
    <w:basedOn w:val="Normal"/>
    <w:semiHidden/>
    <w:rsid w:val="00E27205"/>
    <w:pPr>
      <w:spacing w:before="260" w:after="140" w:line="240" w:lineRule="atLeast"/>
    </w:pPr>
    <w:rPr>
      <w:rFonts w:ascii="Arial Black" w:hAnsi="Arial Black"/>
      <w:sz w:val="18"/>
    </w:rPr>
  </w:style>
  <w:style w:type="paragraph" w:customStyle="1" w:styleId="BMKQualifier">
    <w:name w:val="BMK Qualifier"/>
    <w:semiHidden/>
    <w:rsid w:val="00E27205"/>
    <w:pPr>
      <w:spacing w:line="170" w:lineRule="atLeast"/>
    </w:pPr>
    <w:rPr>
      <w:rFonts w:eastAsia="PMingLiU"/>
      <w:caps/>
      <w:noProof/>
      <w:sz w:val="13"/>
      <w:szCs w:val="13"/>
      <w:lang w:val="en-AU" w:eastAsia="zh-CN"/>
    </w:rPr>
  </w:style>
  <w:style w:type="paragraph" w:customStyle="1" w:styleId="BMKRecipient1">
    <w:name w:val="BMK Recipient1"/>
    <w:basedOn w:val="Normal"/>
    <w:semiHidden/>
    <w:rsid w:val="00E27205"/>
    <w:pPr>
      <w:spacing w:line="260" w:lineRule="atLeast"/>
    </w:pPr>
  </w:style>
  <w:style w:type="paragraph" w:customStyle="1" w:styleId="BMKRefInfo">
    <w:name w:val="BMK Ref Info"/>
    <w:basedOn w:val="BMKAddressInfo"/>
    <w:semiHidden/>
    <w:rsid w:val="00E27205"/>
    <w:pPr>
      <w:framePr w:w="2943" w:h="1734" w:hRule="exact" w:wrap="around" w:vAnchor="text" w:hAnchor="page" w:x="8533" w:y="208"/>
      <w:ind w:left="57"/>
    </w:pPr>
  </w:style>
  <w:style w:type="paragraph" w:customStyle="1" w:styleId="BMKRegions">
    <w:name w:val="BMK Regions"/>
    <w:basedOn w:val="BMKCities"/>
    <w:next w:val="BMKCities"/>
    <w:semiHidden/>
    <w:rsid w:val="00E27205"/>
    <w:rPr>
      <w:rFonts w:ascii="Arial Black" w:hAnsi="Arial Black"/>
      <w:szCs w:val="24"/>
    </w:rPr>
  </w:style>
  <w:style w:type="paragraph" w:customStyle="1" w:styleId="BMKSalutation">
    <w:name w:val="BMK Salutation"/>
    <w:basedOn w:val="Normal"/>
    <w:semiHidden/>
    <w:rsid w:val="00E27205"/>
    <w:pPr>
      <w:spacing w:line="260" w:lineRule="atLeast"/>
    </w:pPr>
  </w:style>
  <w:style w:type="paragraph" w:customStyle="1" w:styleId="BMKSubject">
    <w:name w:val="BMK Subject"/>
    <w:basedOn w:val="Normal"/>
    <w:semiHidden/>
    <w:rsid w:val="00E27205"/>
    <w:pPr>
      <w:spacing w:line="260" w:lineRule="atLeast"/>
    </w:pPr>
    <w:rPr>
      <w:rFonts w:asciiTheme="majorHAnsi" w:eastAsiaTheme="majorEastAsia" w:hAnsiTheme="majorHAnsi" w:cstheme="majorHAnsi"/>
      <w:b/>
      <w:bCs/>
    </w:rPr>
  </w:style>
  <w:style w:type="paragraph" w:customStyle="1" w:styleId="BMKSubtitle">
    <w:name w:val="BMK Subtitle"/>
    <w:basedOn w:val="Normal"/>
    <w:next w:val="BodyText"/>
    <w:semiHidden/>
    <w:rsid w:val="00E27205"/>
    <w:pPr>
      <w:spacing w:after="180" w:line="260" w:lineRule="atLeast"/>
    </w:pPr>
    <w:rPr>
      <w:rFonts w:asciiTheme="majorHAnsi" w:eastAsiaTheme="majorEastAsia" w:hAnsiTheme="majorHAnsi" w:cstheme="majorHAnsi"/>
      <w:sz w:val="32"/>
    </w:rPr>
  </w:style>
  <w:style w:type="paragraph" w:styleId="BodyText">
    <w:name w:val="Body Text"/>
    <w:basedOn w:val="Normal"/>
    <w:link w:val="BodyTextChar"/>
    <w:uiPriority w:val="99"/>
    <w:semiHidden/>
    <w:unhideWhenUsed/>
    <w:rsid w:val="00E27205"/>
    <w:pPr>
      <w:spacing w:after="120"/>
    </w:pPr>
  </w:style>
  <w:style w:type="character" w:customStyle="1" w:styleId="BodyTextChar">
    <w:name w:val="Body Text Char"/>
    <w:basedOn w:val="DefaultParagraphFont"/>
    <w:link w:val="BodyText"/>
    <w:uiPriority w:val="99"/>
    <w:semiHidden/>
    <w:rsid w:val="00E27205"/>
  </w:style>
  <w:style w:type="paragraph" w:customStyle="1" w:styleId="BMKTitle">
    <w:name w:val="BMK Title"/>
    <w:basedOn w:val="Normal"/>
    <w:next w:val="BodyText"/>
    <w:semiHidden/>
    <w:rsid w:val="00E27205"/>
    <w:pPr>
      <w:spacing w:after="180" w:line="260" w:lineRule="atLeast"/>
    </w:pPr>
    <w:rPr>
      <w:rFonts w:asciiTheme="majorHAnsi" w:eastAsiaTheme="majorEastAsia" w:hAnsiTheme="majorHAnsi" w:cstheme="majorHAnsi"/>
      <w:sz w:val="48"/>
    </w:rPr>
  </w:style>
  <w:style w:type="paragraph" w:customStyle="1" w:styleId="BMKDate">
    <w:name w:val="BMKDate"/>
    <w:basedOn w:val="Normal"/>
    <w:semiHidden/>
    <w:rsid w:val="00E27205"/>
    <w:pPr>
      <w:spacing w:line="260" w:lineRule="atLeast"/>
    </w:pPr>
  </w:style>
  <w:style w:type="paragraph" w:customStyle="1" w:styleId="BMKHeaderLogoSHI">
    <w:name w:val="BMKHeaderLogoSHI"/>
    <w:semiHidden/>
    <w:rsid w:val="00E27205"/>
    <w:pPr>
      <w:tabs>
        <w:tab w:val="left" w:pos="709"/>
        <w:tab w:val="left" w:pos="1418"/>
        <w:tab w:val="left" w:pos="2126"/>
        <w:tab w:val="left" w:pos="2835"/>
        <w:tab w:val="right" w:pos="7876"/>
      </w:tabs>
      <w:spacing w:after="140" w:line="260" w:lineRule="atLeast"/>
    </w:pPr>
    <w:rPr>
      <w:rFonts w:eastAsiaTheme="minorEastAsia" w:cstheme="minorHAnsi"/>
      <w:szCs w:val="24"/>
      <w:lang w:val="en-AU" w:eastAsia="zh-CN"/>
    </w:rPr>
  </w:style>
  <w:style w:type="character" w:customStyle="1" w:styleId="Definition">
    <w:name w:val="Definition"/>
    <w:basedOn w:val="DefaultParagraphFont"/>
    <w:uiPriority w:val="3"/>
    <w:rsid w:val="00E27205"/>
    <w:rPr>
      <w:b/>
      <w:bCs/>
      <w:i w:val="0"/>
      <w:szCs w:val="28"/>
    </w:rPr>
  </w:style>
  <w:style w:type="paragraph" w:customStyle="1" w:styleId="DefinitionParagraph">
    <w:name w:val="Definition Paragraph"/>
    <w:basedOn w:val="Normal"/>
    <w:uiPriority w:val="2"/>
    <w:rsid w:val="00E27205"/>
    <w:pPr>
      <w:numPr>
        <w:numId w:val="7"/>
      </w:numPr>
      <w:spacing w:after="180" w:line="260" w:lineRule="atLeast"/>
    </w:pPr>
  </w:style>
  <w:style w:type="character" w:customStyle="1" w:styleId="DMReference">
    <w:name w:val="DMReference"/>
    <w:basedOn w:val="FooterChar"/>
    <w:semiHidden/>
    <w:rsid w:val="00E27205"/>
    <w:rPr>
      <w:rFonts w:asciiTheme="majorHAnsi" w:eastAsiaTheme="majorEastAsia" w:hAnsiTheme="majorHAnsi" w:cstheme="majorHAnsi"/>
      <w:noProof/>
      <w:sz w:val="16"/>
      <w:szCs w:val="16"/>
      <w:lang w:val="en-AU" w:eastAsia="zh-CN"/>
    </w:rPr>
  </w:style>
  <w:style w:type="paragraph" w:customStyle="1" w:styleId="LetterDetail">
    <w:name w:val="LetterDetail"/>
    <w:basedOn w:val="Normal"/>
    <w:semiHidden/>
    <w:rsid w:val="00E27205"/>
    <w:pPr>
      <w:spacing w:line="260" w:lineRule="atLeast"/>
    </w:pPr>
  </w:style>
  <w:style w:type="paragraph" w:customStyle="1" w:styleId="OtherContact">
    <w:name w:val="OtherContact"/>
    <w:basedOn w:val="Normal"/>
    <w:semiHidden/>
    <w:rsid w:val="00E27205"/>
    <w:rPr>
      <w:rFonts w:asciiTheme="majorHAnsi" w:eastAsiaTheme="majorEastAsia" w:hAnsiTheme="majorHAnsi" w:cstheme="majorHAnsi"/>
      <w:sz w:val="16"/>
    </w:rPr>
  </w:style>
  <w:style w:type="paragraph" w:customStyle="1" w:styleId="Recital">
    <w:name w:val="Recital"/>
    <w:basedOn w:val="Normal"/>
    <w:uiPriority w:val="7"/>
    <w:rsid w:val="00E27205"/>
    <w:pPr>
      <w:numPr>
        <w:numId w:val="8"/>
      </w:numPr>
      <w:spacing w:after="180" w:line="260" w:lineRule="atLeast"/>
    </w:pPr>
    <w:rPr>
      <w:rFonts w:cs="Times New Roman"/>
    </w:rPr>
  </w:style>
  <w:style w:type="paragraph" w:customStyle="1" w:styleId="SchH1">
    <w:name w:val="SchH1"/>
    <w:basedOn w:val="Normal"/>
    <w:next w:val="BodyText"/>
    <w:uiPriority w:val="6"/>
    <w:rsid w:val="00E27205"/>
    <w:pPr>
      <w:keepNext/>
      <w:numPr>
        <w:numId w:val="14"/>
      </w:numPr>
      <w:spacing w:after="180" w:line="260" w:lineRule="atLeast"/>
    </w:pPr>
    <w:rPr>
      <w:rFonts w:asciiTheme="majorHAnsi" w:eastAsiaTheme="majorEastAsia" w:hAnsiTheme="majorHAnsi" w:cstheme="majorHAnsi"/>
      <w:b/>
      <w:bCs/>
    </w:rPr>
  </w:style>
  <w:style w:type="paragraph" w:customStyle="1" w:styleId="SchH2">
    <w:name w:val="SchH2"/>
    <w:basedOn w:val="Normal"/>
    <w:next w:val="BodyText"/>
    <w:uiPriority w:val="6"/>
    <w:rsid w:val="00E27205"/>
    <w:pPr>
      <w:keepNext/>
      <w:numPr>
        <w:ilvl w:val="1"/>
        <w:numId w:val="14"/>
      </w:numPr>
      <w:spacing w:after="180" w:line="260" w:lineRule="atLeast"/>
    </w:pPr>
    <w:rPr>
      <w:rFonts w:asciiTheme="majorHAnsi" w:eastAsiaTheme="majorEastAsia" w:hAnsiTheme="majorHAnsi" w:cstheme="majorHAnsi"/>
      <w:b/>
      <w:bCs/>
    </w:rPr>
  </w:style>
  <w:style w:type="paragraph" w:customStyle="1" w:styleId="SchH3">
    <w:name w:val="SchH3"/>
    <w:basedOn w:val="Normal"/>
    <w:uiPriority w:val="6"/>
    <w:rsid w:val="00E27205"/>
    <w:pPr>
      <w:numPr>
        <w:ilvl w:val="2"/>
        <w:numId w:val="14"/>
      </w:numPr>
      <w:spacing w:after="180" w:line="260" w:lineRule="atLeast"/>
    </w:pPr>
  </w:style>
  <w:style w:type="paragraph" w:customStyle="1" w:styleId="SchH4">
    <w:name w:val="SchH4"/>
    <w:basedOn w:val="Normal"/>
    <w:uiPriority w:val="6"/>
    <w:rsid w:val="00E27205"/>
    <w:pPr>
      <w:numPr>
        <w:ilvl w:val="3"/>
        <w:numId w:val="14"/>
      </w:numPr>
      <w:spacing w:after="180" w:line="260" w:lineRule="atLeast"/>
    </w:pPr>
  </w:style>
  <w:style w:type="paragraph" w:customStyle="1" w:styleId="SchH5">
    <w:name w:val="SchH5"/>
    <w:basedOn w:val="Normal"/>
    <w:uiPriority w:val="6"/>
    <w:rsid w:val="00E27205"/>
    <w:pPr>
      <w:numPr>
        <w:ilvl w:val="4"/>
        <w:numId w:val="14"/>
      </w:numPr>
      <w:spacing w:after="180" w:line="260" w:lineRule="atLeast"/>
    </w:pPr>
  </w:style>
  <w:style w:type="paragraph" w:customStyle="1" w:styleId="SchH6">
    <w:name w:val="SchH6"/>
    <w:basedOn w:val="Normal"/>
    <w:uiPriority w:val="6"/>
    <w:rsid w:val="00E27205"/>
    <w:pPr>
      <w:numPr>
        <w:ilvl w:val="5"/>
        <w:numId w:val="14"/>
      </w:numPr>
      <w:spacing w:after="180" w:line="260" w:lineRule="atLeast"/>
    </w:pPr>
  </w:style>
  <w:style w:type="paragraph" w:customStyle="1" w:styleId="SchSH">
    <w:name w:val="SchSH"/>
    <w:basedOn w:val="Normal"/>
    <w:next w:val="BodyText"/>
    <w:uiPriority w:val="6"/>
    <w:rsid w:val="00E27205"/>
    <w:pPr>
      <w:keepNext/>
      <w:spacing w:after="180" w:line="260" w:lineRule="atLeast"/>
    </w:pPr>
    <w:rPr>
      <w:rFonts w:asciiTheme="majorHAnsi" w:eastAsiaTheme="majorEastAsia" w:hAnsiTheme="majorHAnsi" w:cstheme="majorHAnsi"/>
      <w:b/>
    </w:rPr>
  </w:style>
  <w:style w:type="paragraph" w:customStyle="1" w:styleId="TOCHeading">
    <w:name w:val="TOCHeading"/>
    <w:basedOn w:val="Normal"/>
    <w:next w:val="BodyText"/>
    <w:uiPriority w:val="11"/>
    <w:semiHidden/>
    <w:rsid w:val="00E27205"/>
    <w:pPr>
      <w:pBdr>
        <w:bottom w:val="single" w:sz="4" w:space="9" w:color="auto"/>
      </w:pBdr>
      <w:spacing w:after="180" w:line="260" w:lineRule="exact"/>
    </w:pPr>
    <w:rPr>
      <w:rFonts w:asciiTheme="majorHAnsi" w:eastAsiaTheme="majorEastAsia" w:hAnsiTheme="majorHAnsi" w:cstheme="majorHAnsi"/>
      <w:b/>
      <w:bCs/>
      <w:sz w:val="24"/>
    </w:rPr>
  </w:style>
  <w:style w:type="character" w:customStyle="1" w:styleId="Heading1Char">
    <w:name w:val="Heading 1 Char"/>
    <w:basedOn w:val="DefaultParagraphFont"/>
    <w:link w:val="Heading1"/>
    <w:rsid w:val="00E27205"/>
    <w:rPr>
      <w:rFonts w:asciiTheme="majorHAnsi" w:eastAsiaTheme="majorEastAsia" w:hAnsiTheme="majorHAnsi" w:cstheme="majorHAnsi"/>
      <w:b/>
      <w:bCs/>
      <w:szCs w:val="28"/>
      <w:lang w:val="en-AU" w:eastAsia="zh-CN"/>
    </w:rPr>
  </w:style>
  <w:style w:type="character" w:customStyle="1" w:styleId="Heading2Char">
    <w:name w:val="Heading 2 Char"/>
    <w:basedOn w:val="DefaultParagraphFont"/>
    <w:link w:val="Heading2"/>
    <w:rsid w:val="00E27205"/>
    <w:rPr>
      <w:rFonts w:asciiTheme="majorHAnsi" w:eastAsiaTheme="majorEastAsia" w:hAnsiTheme="majorHAnsi" w:cstheme="majorHAnsi"/>
      <w:b/>
      <w:bCs/>
      <w:szCs w:val="28"/>
      <w:lang w:val="en-AU" w:eastAsia="zh-CN"/>
    </w:rPr>
  </w:style>
  <w:style w:type="character" w:customStyle="1" w:styleId="Heading3Char">
    <w:name w:val="Heading 3 Char"/>
    <w:basedOn w:val="DefaultParagraphFont"/>
    <w:link w:val="Heading3"/>
    <w:rsid w:val="00E27205"/>
    <w:rPr>
      <w:rFonts w:eastAsiaTheme="minorEastAsia"/>
      <w:szCs w:val="28"/>
      <w:lang w:val="en-AU" w:eastAsia="zh-CN"/>
    </w:rPr>
  </w:style>
  <w:style w:type="character" w:customStyle="1" w:styleId="Heading4Char">
    <w:name w:val="Heading 4 Char"/>
    <w:basedOn w:val="DefaultParagraphFont"/>
    <w:link w:val="Heading4"/>
    <w:rsid w:val="00E27205"/>
    <w:rPr>
      <w:rFonts w:eastAsiaTheme="minorEastAsia"/>
      <w:szCs w:val="28"/>
      <w:lang w:val="en-AU" w:eastAsia="zh-CN"/>
    </w:rPr>
  </w:style>
  <w:style w:type="character" w:customStyle="1" w:styleId="Heading5Char">
    <w:name w:val="Heading 5 Char"/>
    <w:basedOn w:val="DefaultParagraphFont"/>
    <w:link w:val="Heading5"/>
    <w:rsid w:val="00E27205"/>
    <w:rPr>
      <w:rFonts w:eastAsiaTheme="minorEastAsia"/>
      <w:szCs w:val="28"/>
      <w:lang w:val="en-AU" w:eastAsia="zh-CN"/>
    </w:rPr>
  </w:style>
  <w:style w:type="character" w:customStyle="1" w:styleId="Heading6Char">
    <w:name w:val="Heading 6 Char"/>
    <w:basedOn w:val="DefaultParagraphFont"/>
    <w:link w:val="Heading6"/>
    <w:rsid w:val="00E27205"/>
    <w:rPr>
      <w:rFonts w:eastAsiaTheme="minorEastAsia"/>
      <w:szCs w:val="28"/>
      <w:lang w:val="en-AU" w:eastAsia="zh-CN"/>
    </w:rPr>
  </w:style>
  <w:style w:type="character" w:customStyle="1" w:styleId="Heading7Char">
    <w:name w:val="Heading 7 Char"/>
    <w:basedOn w:val="DefaultParagraphFont"/>
    <w:link w:val="Heading7"/>
    <w:rsid w:val="00E27205"/>
    <w:rPr>
      <w:rFonts w:eastAsiaTheme="minorEastAsia"/>
      <w:szCs w:val="28"/>
      <w:lang w:val="en-AU" w:eastAsia="zh-CN"/>
    </w:rPr>
  </w:style>
  <w:style w:type="character" w:styleId="Hyperlink">
    <w:name w:val="Hyperlink"/>
    <w:uiPriority w:val="6"/>
    <w:semiHidden/>
    <w:rsid w:val="00E27205"/>
    <w:rPr>
      <w:color w:val="0000FF"/>
      <w:u w:val="single"/>
    </w:rPr>
  </w:style>
  <w:style w:type="character" w:styleId="FollowedHyperlink">
    <w:name w:val="FollowedHyperlink"/>
    <w:basedOn w:val="DefaultParagraphFont"/>
    <w:unhideWhenUsed/>
    <w:rsid w:val="00E27205"/>
    <w:rPr>
      <w:color w:val="800080"/>
      <w:u w:val="single"/>
    </w:rPr>
  </w:style>
  <w:style w:type="paragraph" w:styleId="ListNumber">
    <w:name w:val="List Number"/>
    <w:basedOn w:val="Normal"/>
    <w:uiPriority w:val="7"/>
    <w:qFormat/>
    <w:rsid w:val="00E27205"/>
    <w:pPr>
      <w:numPr>
        <w:numId w:val="29"/>
      </w:numPr>
      <w:spacing w:after="180" w:line="260" w:lineRule="atLeast"/>
    </w:pPr>
  </w:style>
  <w:style w:type="paragraph" w:styleId="ListNumber2">
    <w:name w:val="List Number 2"/>
    <w:basedOn w:val="Normal"/>
    <w:uiPriority w:val="7"/>
    <w:qFormat/>
    <w:rsid w:val="00E27205"/>
    <w:pPr>
      <w:numPr>
        <w:ilvl w:val="1"/>
        <w:numId w:val="29"/>
      </w:numPr>
      <w:spacing w:after="180" w:line="260" w:lineRule="atLeast"/>
    </w:pPr>
  </w:style>
  <w:style w:type="paragraph" w:styleId="ListNumber3">
    <w:name w:val="List Number 3"/>
    <w:basedOn w:val="Normal"/>
    <w:uiPriority w:val="7"/>
    <w:qFormat/>
    <w:rsid w:val="00E27205"/>
    <w:pPr>
      <w:numPr>
        <w:ilvl w:val="2"/>
        <w:numId w:val="29"/>
      </w:numPr>
      <w:spacing w:after="180" w:line="260" w:lineRule="atLeast"/>
    </w:pPr>
  </w:style>
  <w:style w:type="paragraph" w:styleId="ListNumber4">
    <w:name w:val="List Number 4"/>
    <w:basedOn w:val="Normal"/>
    <w:uiPriority w:val="7"/>
    <w:qFormat/>
    <w:rsid w:val="00E27205"/>
    <w:pPr>
      <w:numPr>
        <w:ilvl w:val="3"/>
        <w:numId w:val="29"/>
      </w:numPr>
      <w:spacing w:after="180" w:line="260" w:lineRule="atLeast"/>
    </w:pPr>
  </w:style>
  <w:style w:type="character" w:styleId="PageNumber">
    <w:name w:val="page number"/>
    <w:basedOn w:val="DefaultParagraphFont"/>
    <w:uiPriority w:val="99"/>
    <w:semiHidden/>
    <w:rsid w:val="00E27205"/>
    <w:rPr>
      <w:szCs w:val="16"/>
    </w:rPr>
  </w:style>
  <w:style w:type="paragraph" w:styleId="Header">
    <w:name w:val="header"/>
    <w:basedOn w:val="Normal"/>
    <w:link w:val="HeaderChar"/>
    <w:uiPriority w:val="99"/>
    <w:unhideWhenUsed/>
    <w:rsid w:val="00C5758B"/>
    <w:pPr>
      <w:tabs>
        <w:tab w:val="center" w:pos="4513"/>
        <w:tab w:val="right" w:pos="9026"/>
      </w:tabs>
    </w:pPr>
  </w:style>
  <w:style w:type="character" w:customStyle="1" w:styleId="HeaderChar">
    <w:name w:val="Header Char"/>
    <w:basedOn w:val="DefaultParagraphFont"/>
    <w:link w:val="Header"/>
    <w:uiPriority w:val="99"/>
    <w:rsid w:val="00C5758B"/>
    <w:rPr>
      <w:rFonts w:eastAsiaTheme="minorEastAsia"/>
      <w:szCs w:val="28"/>
      <w:lang w:eastAsia="zh-CN"/>
    </w:rPr>
  </w:style>
  <w:style w:type="table" w:styleId="TableGrid">
    <w:name w:val="Table Grid"/>
    <w:basedOn w:val="TableNormal"/>
    <w:uiPriority w:val="59"/>
    <w:rsid w:val="00C575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next w:val="Normal"/>
    <w:uiPriority w:val="99"/>
    <w:rsid w:val="00C5758B"/>
    <w:pPr>
      <w:autoSpaceDE w:val="0"/>
      <w:autoSpaceDN w:val="0"/>
      <w:adjustRightInd w:val="0"/>
      <w:spacing w:line="241" w:lineRule="atLeast"/>
    </w:pPr>
    <w:rPr>
      <w:rFonts w:ascii="Agfa Rotis Sans Serif" w:eastAsiaTheme="minorHAnsi" w:hAnsi="Agfa Rotis Sans Serif"/>
      <w:sz w:val="24"/>
      <w:szCs w:val="24"/>
      <w:lang w:val="en-US" w:eastAsia="en-US"/>
    </w:rPr>
  </w:style>
  <w:style w:type="character" w:customStyle="1" w:styleId="A10">
    <w:name w:val="A10"/>
    <w:uiPriority w:val="99"/>
    <w:rsid w:val="00C5758B"/>
    <w:rPr>
      <w:rFonts w:cs="Agfa Rotis Sans Serif"/>
      <w:b/>
      <w:bCs/>
      <w:color w:val="000000"/>
      <w:sz w:val="16"/>
      <w:szCs w:val="16"/>
    </w:rPr>
  </w:style>
  <w:style w:type="character" w:customStyle="1" w:styleId="A11">
    <w:name w:val="A11"/>
    <w:uiPriority w:val="99"/>
    <w:rsid w:val="00C5758B"/>
    <w:rPr>
      <w:rFonts w:ascii="Playbill" w:hAnsi="Playbill" w:cs="Playbill"/>
      <w:color w:val="000000"/>
      <w:sz w:val="26"/>
      <w:szCs w:val="26"/>
    </w:rPr>
  </w:style>
  <w:style w:type="paragraph" w:styleId="ListParagraph">
    <w:name w:val="List Paragraph"/>
    <w:basedOn w:val="Normal"/>
    <w:uiPriority w:val="34"/>
    <w:qFormat/>
    <w:rsid w:val="00971417"/>
    <w:pPr>
      <w:ind w:left="720"/>
      <w:contextualSpacing/>
    </w:pPr>
  </w:style>
  <w:style w:type="paragraph" w:styleId="FootnoteText">
    <w:name w:val="footnote text"/>
    <w:basedOn w:val="Normal"/>
    <w:link w:val="FootnoteTextChar"/>
    <w:uiPriority w:val="99"/>
    <w:semiHidden/>
    <w:unhideWhenUsed/>
    <w:rsid w:val="002815E4"/>
    <w:rPr>
      <w:sz w:val="20"/>
      <w:szCs w:val="20"/>
    </w:rPr>
  </w:style>
  <w:style w:type="character" w:customStyle="1" w:styleId="FootnoteTextChar">
    <w:name w:val="Footnote Text Char"/>
    <w:basedOn w:val="DefaultParagraphFont"/>
    <w:link w:val="FootnoteText"/>
    <w:uiPriority w:val="99"/>
    <w:semiHidden/>
    <w:rsid w:val="002815E4"/>
    <w:rPr>
      <w:rFonts w:eastAsiaTheme="minorEastAsia"/>
      <w:sz w:val="20"/>
      <w:szCs w:val="20"/>
      <w:lang w:eastAsia="zh-CN"/>
    </w:rPr>
  </w:style>
  <w:style w:type="character" w:styleId="FootnoteReference">
    <w:name w:val="footnote reference"/>
    <w:basedOn w:val="DefaultParagraphFont"/>
    <w:uiPriority w:val="99"/>
    <w:semiHidden/>
    <w:unhideWhenUsed/>
    <w:rsid w:val="002815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86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EN/TXT/PDF/?uri=CELEX:52021XC0318(01)&amp;from=E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ccpc.ie/business/wp-content/uploads/sites/3/2017/02/Consortium-Bidding-Guide_0.pdf" TargetMode="Externa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qvia.com/insights/the-iqvia-institute/reports/global-trends-in-r-and-d"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 E M E A _ D M S ! 4 0 7 6 6 5 7 6 6 . 1 < / d o c u m e n t i d >  
     < s e n d e r i d > B R U F X C < / s e n d e r i d >  
     < s e n d e r e m a i l > F I O N A . C A R L I N @ B A K E R M C K E N Z I E . C O M < / s e n d e r e m a i l >  
     < l a s t m o d i f i e d > 2 0 2 2 - 0 4 - 2 5 T 1 2 : 0 7 : 0 0 . 0 0 0 0 0 0 0 + 0 2 : 0 0 < / l a s t m o d i f i e d >  
     < d a t a b a s e > E M E A _ D M S < / d a t a b a s e >  
 < / p r o p e r t i e s > 
</file>

<file path=customXml/itemProps1.xml><?xml version="1.0" encoding="utf-8"?>
<ds:datastoreItem xmlns:ds="http://schemas.openxmlformats.org/officeDocument/2006/customXml" ds:itemID="{A92AC667-3B10-429D-A535-A812438B8646}">
  <ds:schemaRefs>
    <ds:schemaRef ds:uri="http://schemas.openxmlformats.org/officeDocument/2006/bibliography"/>
  </ds:schemaRefs>
</ds:datastoreItem>
</file>

<file path=customXml/itemProps2.xml><?xml version="1.0" encoding="utf-8"?>
<ds:datastoreItem xmlns:ds="http://schemas.openxmlformats.org/officeDocument/2006/customXml" ds:itemID="{A1E36B88-1511-6243-B899-11A5754E079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Baker &amp; McKenzie</Company>
  <LinksUpToDate>false</LinksUpToDate>
  <CharactersWithSpaces>16820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Carlin, Fiona</dc:creator>
  <cp:keywords/>
  <dc:description/>
  <cp:lastModifiedBy>Grimur Johannsson</cp:lastModifiedBy>
  <cp:revision>28</cp:revision>
  <dcterms:created xsi:type="dcterms:W3CDTF">2022-04-13T13:34:00Z</dcterms:created>
  <dcterms:modified xsi:type="dcterms:W3CDTF">2022-04-25T11:51:00Z</dcterms:modified>
</cp:coreProperties>
</file>