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Titlul raportului, la libera alegere a evaluatorului</w:t>
      </w:r>
    </w:p>
    <w:p w14:paraId="2655C4E1" w14:textId="142528B3" w:rsidR="007B1C2F" w:rsidRDefault="007B1C2F" w:rsidP="007B1C2F">
      <w:pPr>
        <w:jc w:val="center"/>
      </w:pPr>
      <w:r>
        <w:t>Raport scris în vederea îndeplinirii obligațiilor prevăzute în Decizia # a Comisiei Europene</w:t>
      </w:r>
      <w:r w:rsidR="000A1B2E">
        <w:rPr>
          <w:rStyle w:val="FootnoteReference"/>
          <w:lang w:val="en-US"/>
        </w:rPr>
        <w:footnoteReference w:id="1"/>
      </w:r>
      <w:r w:rsidR="00714BE8">
        <w:t xml:space="preserve"> </w:t>
      </w:r>
      <w:r>
        <w:t>privind SA. # # # # # #</w:t>
      </w:r>
    </w:p>
    <w:p w14:paraId="72C5222F" w14:textId="456F89EF" w:rsidR="003027ED" w:rsidRDefault="003027ED" w:rsidP="007B1C2F">
      <w:pPr>
        <w:jc w:val="center"/>
      </w:pPr>
      <w:r>
        <w:t>Data versiunii actuale</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Rezumat</w:t>
      </w:r>
      <w:r>
        <w:t xml:space="preserve"> (maximum </w:t>
      </w:r>
      <w:r w:rsidRPr="00BD32F5">
        <w:t>1</w:t>
      </w:r>
      <w:r>
        <w:t xml:space="preserve"> </w:t>
      </w:r>
      <w:r w:rsidRPr="00BD32F5">
        <w:t>000</w:t>
      </w:r>
      <w:r>
        <w:t xml:space="preserve"> de cuvinte, incluzând tabelele și graficele)</w:t>
      </w:r>
    </w:p>
    <w:p w14:paraId="5A1F4C42" w14:textId="3058CA97" w:rsidR="005B458B" w:rsidRDefault="00D154DE" w:rsidP="00D154DE">
      <w:pPr>
        <w:pStyle w:val="ListParagraph"/>
        <w:jc w:val="both"/>
        <w:rPr>
          <w:i/>
          <w:iCs/>
        </w:rPr>
      </w:pPr>
      <w:r>
        <w:rPr>
          <w:i/>
        </w:rPr>
        <w:t>Evaluatorul descrie pe scurt în această secțiune (eventual utilizând liniuțe marcatoare pentru a-și structura răspunsul) obiectivele schemei de ajutor, metodele utilizate pentru analizarea acesteia, datele, principalele rezultate și învățămintele care pot fi desprinse pentru viitor, relevante la nivelul politicilor.</w:t>
      </w:r>
    </w:p>
    <w:p w14:paraId="0B85983E" w14:textId="77777777" w:rsidR="007E0B9F" w:rsidRPr="00714BE8" w:rsidRDefault="007E0B9F" w:rsidP="00D154DE">
      <w:pPr>
        <w:pStyle w:val="ListParagraph"/>
        <w:jc w:val="both"/>
        <w:rPr>
          <w:i/>
          <w:iCs/>
        </w:rPr>
      </w:pPr>
    </w:p>
    <w:p w14:paraId="1C5C6779" w14:textId="17B05F7D" w:rsidR="00671E88" w:rsidRDefault="00671E88" w:rsidP="007B1C2F">
      <w:pPr>
        <w:pStyle w:val="ListParagraph"/>
        <w:numPr>
          <w:ilvl w:val="0"/>
          <w:numId w:val="2"/>
        </w:numPr>
        <w:jc w:val="both"/>
      </w:pPr>
      <w:r>
        <w:rPr>
          <w:b/>
        </w:rPr>
        <w:t>Identificarea schemei</w:t>
      </w:r>
      <w:r>
        <w:t xml:space="preserve"> (în această secțiune nu se indică numărul de cuvinte)</w:t>
      </w:r>
    </w:p>
    <w:p w14:paraId="6C0FEFBF" w14:textId="2B4E2804" w:rsidR="005B3644" w:rsidRPr="00780004" w:rsidRDefault="005B3644" w:rsidP="007B1C2F">
      <w:pPr>
        <w:pStyle w:val="ListParagraph"/>
        <w:numPr>
          <w:ilvl w:val="1"/>
          <w:numId w:val="2"/>
        </w:numPr>
        <w:jc w:val="both"/>
        <w:rPr>
          <w:i/>
          <w:iCs/>
        </w:rPr>
      </w:pPr>
      <w:r>
        <w:rPr>
          <w:i/>
        </w:rPr>
        <w:t>Țara:</w:t>
      </w:r>
    </w:p>
    <w:p w14:paraId="56B9F808" w14:textId="656D3F0D" w:rsidR="00671E88" w:rsidRPr="00780004" w:rsidRDefault="002C693D" w:rsidP="007B1C2F">
      <w:pPr>
        <w:pStyle w:val="ListParagraph"/>
        <w:numPr>
          <w:ilvl w:val="1"/>
          <w:numId w:val="2"/>
        </w:numPr>
        <w:jc w:val="both"/>
        <w:rPr>
          <w:i/>
          <w:iCs/>
        </w:rPr>
      </w:pPr>
      <w:r>
        <w:rPr>
          <w:i/>
        </w:rPr>
        <w:t>Identificator: SA. # # # # # # #</w:t>
      </w:r>
    </w:p>
    <w:p w14:paraId="3FFCDC50" w14:textId="1763BBBB" w:rsidR="00505990" w:rsidRPr="00780004" w:rsidRDefault="00505990" w:rsidP="007B1C2F">
      <w:pPr>
        <w:pStyle w:val="ListParagraph"/>
        <w:numPr>
          <w:ilvl w:val="1"/>
          <w:numId w:val="2"/>
        </w:numPr>
        <w:jc w:val="both"/>
        <w:rPr>
          <w:i/>
          <w:iCs/>
        </w:rPr>
      </w:pPr>
      <w:r>
        <w:rPr>
          <w:i/>
        </w:rPr>
        <w:t>Natura raportului de evaluare: Raport intermediar / final / suplimentar</w:t>
      </w:r>
    </w:p>
    <w:p w14:paraId="7879AEDB" w14:textId="5C9790E7" w:rsidR="005B3644" w:rsidRPr="00780004" w:rsidRDefault="005B3644" w:rsidP="35A1FF21">
      <w:pPr>
        <w:pStyle w:val="ListParagraph"/>
        <w:numPr>
          <w:ilvl w:val="1"/>
          <w:numId w:val="2"/>
        </w:numPr>
        <w:jc w:val="both"/>
        <w:rPr>
          <w:i/>
          <w:iCs/>
        </w:rPr>
      </w:pPr>
      <w:r>
        <w:rPr>
          <w:i/>
        </w:rPr>
        <w:t xml:space="preserve">Denumirea schemei de ajutoare: </w:t>
      </w:r>
    </w:p>
    <w:p w14:paraId="320E2D74" w14:textId="3D9ECA88" w:rsidR="002C693D" w:rsidRPr="00780004" w:rsidRDefault="002C693D" w:rsidP="007B1C2F">
      <w:pPr>
        <w:pStyle w:val="ListParagraph"/>
        <w:numPr>
          <w:ilvl w:val="1"/>
          <w:numId w:val="2"/>
        </w:numPr>
        <w:jc w:val="both"/>
        <w:rPr>
          <w:i/>
          <w:iCs/>
        </w:rPr>
      </w:pPr>
      <w:r>
        <w:rPr>
          <w:i/>
        </w:rPr>
        <w:t>Ajutorul de stat se referă la:</w:t>
      </w:r>
    </w:p>
    <w:p w14:paraId="2DC58223" w14:textId="7AD10363" w:rsidR="002C693D" w:rsidRPr="00780004" w:rsidRDefault="002C693D" w:rsidP="007B1C2F">
      <w:pPr>
        <w:pStyle w:val="ListParagraph"/>
        <w:numPr>
          <w:ilvl w:val="2"/>
          <w:numId w:val="2"/>
        </w:numPr>
        <w:jc w:val="both"/>
        <w:rPr>
          <w:i/>
          <w:iCs/>
        </w:rPr>
      </w:pPr>
      <w:r>
        <w:rPr>
          <w:i/>
        </w:rPr>
        <w:t xml:space="preserve">o schemă care face obiectul evaluării în temeiul articolului </w:t>
      </w:r>
      <w:r w:rsidRPr="00BD32F5">
        <w:rPr>
          <w:i/>
        </w:rPr>
        <w:t>1</w:t>
      </w:r>
      <w:r>
        <w:rPr>
          <w:i/>
        </w:rPr>
        <w:t xml:space="preserve"> alineatul (</w:t>
      </w:r>
      <w:r w:rsidRPr="00BD32F5">
        <w:rPr>
          <w:i/>
        </w:rPr>
        <w:t>2</w:t>
      </w:r>
      <w:r>
        <w:rPr>
          <w:i/>
        </w:rPr>
        <w:t xml:space="preserve">) litera (a) din Regulamentul (UE) nr. </w:t>
      </w:r>
      <w:r w:rsidRPr="00BD32F5">
        <w:rPr>
          <w:i/>
        </w:rPr>
        <w:t>651</w:t>
      </w:r>
      <w:r>
        <w:rPr>
          <w:i/>
        </w:rPr>
        <w:t>/</w:t>
      </w:r>
      <w:r w:rsidRPr="00BD32F5">
        <w:rPr>
          <w:i/>
        </w:rPr>
        <w:t>2014</w:t>
      </w:r>
      <w:r>
        <w:rPr>
          <w:i/>
        </w:rPr>
        <w:t>?</w:t>
      </w:r>
    </w:p>
    <w:p w14:paraId="6E6BDA16" w14:textId="53D79379" w:rsidR="002C693D" w:rsidRPr="00780004" w:rsidRDefault="002C693D" w:rsidP="007B1C2F">
      <w:pPr>
        <w:pStyle w:val="ListParagraph"/>
        <w:numPr>
          <w:ilvl w:val="2"/>
          <w:numId w:val="2"/>
        </w:numPr>
        <w:jc w:val="both"/>
        <w:rPr>
          <w:i/>
          <w:iCs/>
        </w:rPr>
      </w:pPr>
      <w:r>
        <w:rPr>
          <w:i/>
        </w:rPr>
        <w:t xml:space="preserve">o schemă de ajutoare notificată Comisiei în temeiul articolului </w:t>
      </w:r>
      <w:r w:rsidRPr="00BD32F5">
        <w:rPr>
          <w:i/>
        </w:rPr>
        <w:t>108</w:t>
      </w:r>
      <w:r>
        <w:rPr>
          <w:i/>
        </w:rPr>
        <w:t xml:space="preserve"> alineatul</w:t>
      </w:r>
      <w:r w:rsidR="00BD32F5">
        <w:rPr>
          <w:i/>
        </w:rPr>
        <w:t> </w:t>
      </w:r>
      <w:r>
        <w:rPr>
          <w:i/>
        </w:rPr>
        <w:t>(</w:t>
      </w:r>
      <w:r w:rsidRPr="00BD32F5">
        <w:rPr>
          <w:i/>
        </w:rPr>
        <w:t>3</w:t>
      </w:r>
      <w:r>
        <w:rPr>
          <w:i/>
        </w:rPr>
        <w:t>) din TFUE?</w:t>
      </w:r>
    </w:p>
    <w:p w14:paraId="6DC35D7F" w14:textId="315C6415" w:rsidR="005B3644" w:rsidRPr="00780004" w:rsidRDefault="005B3644" w:rsidP="007B1C2F">
      <w:pPr>
        <w:pStyle w:val="ListParagraph"/>
        <w:numPr>
          <w:ilvl w:val="1"/>
          <w:numId w:val="2"/>
        </w:numPr>
        <w:jc w:val="both"/>
        <w:rPr>
          <w:i/>
          <w:iCs/>
        </w:rPr>
      </w:pPr>
      <w:r>
        <w:rPr>
          <w:i/>
        </w:rPr>
        <w:t>Calendarul de plată a fondurilor, de la prima la ultima tranșă:</w:t>
      </w:r>
    </w:p>
    <w:p w14:paraId="2D8E257C" w14:textId="10DBFC12" w:rsidR="005045F9" w:rsidRPr="00780004" w:rsidRDefault="005045F9" w:rsidP="007B1C2F">
      <w:pPr>
        <w:pStyle w:val="ListParagraph"/>
        <w:numPr>
          <w:ilvl w:val="1"/>
          <w:numId w:val="2"/>
        </w:numPr>
        <w:jc w:val="both"/>
        <w:rPr>
          <w:i/>
          <w:iCs/>
        </w:rPr>
      </w:pPr>
      <w:r>
        <w:rPr>
          <w:i/>
        </w:rPr>
        <w:t>Cuantumul total al fondurilor publice alocate pe parcursul întregii perioade:</w:t>
      </w:r>
    </w:p>
    <w:p w14:paraId="3B4E3792" w14:textId="539D11EF" w:rsidR="00AB01FA" w:rsidRPr="00780004" w:rsidRDefault="00261C8B" w:rsidP="007B1C2F">
      <w:pPr>
        <w:pStyle w:val="ListParagraph"/>
        <w:numPr>
          <w:ilvl w:val="1"/>
          <w:numId w:val="2"/>
        </w:numPr>
        <w:jc w:val="both"/>
        <w:rPr>
          <w:i/>
          <w:iCs/>
        </w:rPr>
      </w:pPr>
      <w:r>
        <w:rPr>
          <w:i/>
        </w:rPr>
        <w:t>Instrumentul de ajutor (de exemplu, grant direct, avantaj fiscal, garanție etc.):</w:t>
      </w:r>
    </w:p>
    <w:p w14:paraId="5E65DA76" w14:textId="184F8D59" w:rsidR="005B3644" w:rsidRPr="00780004" w:rsidRDefault="005B3644" w:rsidP="007B1C2F">
      <w:pPr>
        <w:pStyle w:val="ListParagraph"/>
        <w:numPr>
          <w:ilvl w:val="1"/>
          <w:numId w:val="2"/>
        </w:numPr>
        <w:jc w:val="both"/>
        <w:rPr>
          <w:i/>
          <w:iCs/>
        </w:rPr>
      </w:pPr>
      <w:r>
        <w:rPr>
          <w:i/>
        </w:rPr>
        <w:t xml:space="preserve">Calendarul de raportare (când se preconizează că vor fi prezentate, dacă va fi cazul, următoarele rapoarte?): </w:t>
      </w:r>
    </w:p>
    <w:p w14:paraId="2FCC7550" w14:textId="0FCC8A5E" w:rsidR="007B1C2F" w:rsidRPr="00780004" w:rsidRDefault="007B1C2F" w:rsidP="007B1C2F">
      <w:pPr>
        <w:pStyle w:val="ListParagraph"/>
        <w:numPr>
          <w:ilvl w:val="1"/>
          <w:numId w:val="2"/>
        </w:numPr>
        <w:jc w:val="both"/>
        <w:rPr>
          <w:i/>
          <w:iCs/>
        </w:rPr>
      </w:pPr>
      <w:r>
        <w:rPr>
          <w:i/>
        </w:rPr>
        <w:t xml:space="preserve">Autoritățile responsabile cu finanțarea, executarea și gestionarea schemei de ajutoare de stat: </w:t>
      </w:r>
    </w:p>
    <w:p w14:paraId="0D6703F1" w14:textId="1DFA8BA8" w:rsidR="007B1C2F" w:rsidRPr="00780004" w:rsidRDefault="007B1C2F" w:rsidP="007B1C2F">
      <w:pPr>
        <w:pStyle w:val="ListParagraph"/>
        <w:numPr>
          <w:ilvl w:val="1"/>
          <w:numId w:val="2"/>
        </w:numPr>
        <w:jc w:val="both"/>
        <w:rPr>
          <w:i/>
          <w:iCs/>
        </w:rPr>
      </w:pPr>
      <w:r>
        <w:rPr>
          <w:i/>
        </w:rPr>
        <w:t>Evaluatorul:</w:t>
      </w:r>
    </w:p>
    <w:p w14:paraId="2F1987A6" w14:textId="1D997FA4" w:rsidR="007B1C2F" w:rsidRDefault="007B1C2F" w:rsidP="007B1C2F">
      <w:pPr>
        <w:pStyle w:val="ListParagraph"/>
        <w:numPr>
          <w:ilvl w:val="1"/>
          <w:numId w:val="2"/>
        </w:numPr>
        <w:jc w:val="both"/>
        <w:rPr>
          <w:i/>
          <w:iCs/>
        </w:rPr>
      </w:pPr>
      <w:r>
        <w:rPr>
          <w:i/>
        </w:rPr>
        <w:t xml:space="preserve">Site-ul web și alte platforme relevante pe care va fi publicat prezentul raport, odată ce va fi aprobat: </w:t>
      </w:r>
    </w:p>
    <w:p w14:paraId="1D82D07B" w14:textId="77777777" w:rsidR="007E0B9F" w:rsidRPr="00714BE8" w:rsidRDefault="007E0B9F" w:rsidP="007E0B9F">
      <w:pPr>
        <w:pStyle w:val="ListParagraph"/>
        <w:ind w:left="1778"/>
        <w:jc w:val="both"/>
        <w:rPr>
          <w:i/>
          <w:iCs/>
          <w:lang w:val="fr-BE"/>
        </w:rPr>
      </w:pPr>
    </w:p>
    <w:p w14:paraId="466E78F3" w14:textId="35C0C5CA" w:rsidR="00BB00C0" w:rsidRDefault="00BB00C0" w:rsidP="007B1C2F">
      <w:pPr>
        <w:pStyle w:val="ListParagraph"/>
        <w:numPr>
          <w:ilvl w:val="0"/>
          <w:numId w:val="2"/>
        </w:numPr>
        <w:jc w:val="both"/>
      </w:pPr>
      <w:r>
        <w:rPr>
          <w:b/>
        </w:rPr>
        <w:t>Introducere</w:t>
      </w:r>
      <w:r>
        <w:t xml:space="preserve"> (maximum </w:t>
      </w:r>
      <w:r w:rsidRPr="00BD32F5">
        <w:t>3</w:t>
      </w:r>
      <w:r>
        <w:t xml:space="preserve"> </w:t>
      </w:r>
      <w:r w:rsidRPr="00BD32F5">
        <w:t>000</w:t>
      </w:r>
      <w:r>
        <w:t xml:space="preserve"> de cuvinte, incluzând tabelele și graficele)</w:t>
      </w:r>
    </w:p>
    <w:p w14:paraId="5B057327" w14:textId="35CEEF75" w:rsidR="006A1A01" w:rsidRDefault="00780004" w:rsidP="007B1C2F">
      <w:pPr>
        <w:pStyle w:val="ListParagraph"/>
        <w:jc w:val="both"/>
        <w:rPr>
          <w:rStyle w:val="Bodytext1"/>
        </w:rPr>
      </w:pPr>
      <w:r>
        <w:rPr>
          <w:i/>
        </w:rPr>
        <w:t>Evaluatorul descrie în această secțiune cadrul macroeconomic și</w:t>
      </w:r>
      <w:r>
        <w:t xml:space="preserve"> </w:t>
      </w:r>
      <w:r>
        <w:rPr>
          <w:rStyle w:val="Bodytext1"/>
        </w:rPr>
        <w:t xml:space="preserve">, dacă există, evaluările </w:t>
      </w:r>
      <w:r>
        <w:rPr>
          <w:rStyle w:val="Bodytext1"/>
          <w:iCs/>
        </w:rPr>
        <w:t>ex post</w:t>
      </w:r>
      <w:r>
        <w:rPr>
          <w:rStyle w:val="Bodytext1"/>
        </w:rPr>
        <w:t xml:space="preserve"> efectuate deja cu privire la aceeași schemă de ajutoare sau la scheme foarte similare, inclusiv cele executate în alte țări din UE sau din afara UE.</w:t>
      </w:r>
    </w:p>
    <w:p w14:paraId="13589627" w14:textId="77777777" w:rsidR="007E0B9F" w:rsidRPr="00714BE8" w:rsidRDefault="007E0B9F" w:rsidP="007B1C2F">
      <w:pPr>
        <w:pStyle w:val="ListParagraph"/>
        <w:jc w:val="both"/>
        <w:rPr>
          <w:i/>
          <w:iCs/>
        </w:rPr>
      </w:pPr>
    </w:p>
    <w:p w14:paraId="309BA752" w14:textId="6B5E98F8" w:rsidR="006A1A01" w:rsidRDefault="00226ADF" w:rsidP="007B1C2F">
      <w:pPr>
        <w:pStyle w:val="ListParagraph"/>
        <w:numPr>
          <w:ilvl w:val="0"/>
          <w:numId w:val="2"/>
        </w:numPr>
        <w:jc w:val="both"/>
      </w:pPr>
      <w:r>
        <w:rPr>
          <w:b/>
        </w:rPr>
        <w:t>Detalii privind schema de ajutoare</w:t>
      </w:r>
      <w:r>
        <w:t xml:space="preserve"> (maximum </w:t>
      </w:r>
      <w:r w:rsidRPr="00BD32F5">
        <w:t>3</w:t>
      </w:r>
      <w:r>
        <w:t xml:space="preserve"> </w:t>
      </w:r>
      <w:r w:rsidRPr="00BD32F5">
        <w:t>000</w:t>
      </w:r>
      <w:r>
        <w:t xml:space="preserve"> de cuvinte, incluzând tabelele și graficele)</w:t>
      </w:r>
    </w:p>
    <w:p w14:paraId="116CBCD2" w14:textId="74FAEE8E" w:rsidR="007E0B9F" w:rsidRDefault="00AC147F" w:rsidP="007B36C6">
      <w:pPr>
        <w:pStyle w:val="ListParagraph"/>
        <w:jc w:val="both"/>
        <w:rPr>
          <w:i/>
          <w:iCs/>
        </w:rPr>
      </w:pPr>
      <w:r>
        <w:rPr>
          <w:i/>
        </w:rPr>
        <w:t>Evaluatorul prezintă în această secțiune obiectivele generale și specifice ale intervenției de ajutor, precum și motivele care au stat la baza introducerii acesteia. De asemenea, în această secțiune sunt descrise pe scurt cadrul juridic al ajutorului care face obiectul examinării, precum și modificările aduse acestuia în timp. Mai exact, evaluatorul descrie (printre altele) populația-</w:t>
      </w:r>
      <w:r>
        <w:rPr>
          <w:i/>
        </w:rPr>
        <w:lastRenderedPageBreak/>
        <w:t>țintă (beneficiarii vizați de intervenție), condițiile de eligibilitate, criteriile de selecție, cuantumul maxim al fondurilor acordate fiecărui beneficiar, intensitatea ajutorului, instrumentul financiar și cuantumul total al fondurilor alocate pentru intervenție.</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Date</w:t>
      </w:r>
      <w:r>
        <w:t xml:space="preserve"> (maximum </w:t>
      </w:r>
      <w:r w:rsidRPr="00BD32F5">
        <w:t>3</w:t>
      </w:r>
      <w:r>
        <w:t xml:space="preserve"> </w:t>
      </w:r>
      <w:r w:rsidRPr="00BD32F5">
        <w:t>000</w:t>
      </w:r>
      <w:r>
        <w:t xml:space="preserve"> de cuvinte, incluzând tabelele și graficele)</w:t>
      </w:r>
    </w:p>
    <w:p w14:paraId="68F23D81" w14:textId="3B774FBE" w:rsidR="00101CC4" w:rsidRDefault="00101CC4" w:rsidP="35A1FF21">
      <w:pPr>
        <w:pStyle w:val="ListParagraph"/>
        <w:jc w:val="both"/>
        <w:rPr>
          <w:i/>
          <w:iCs/>
        </w:rPr>
      </w:pPr>
      <w:r>
        <w:rPr>
          <w:i/>
        </w:rPr>
        <w:t>Această secțiune este dedicată descrierii surselor de date utilizate în prezentul raport, făcându</w:t>
      </w:r>
      <w:r w:rsidR="00BD32F5">
        <w:rPr>
          <w:i/>
        </w:rPr>
        <w:t>­</w:t>
      </w:r>
      <w:r>
        <w:rPr>
          <w:i/>
        </w:rPr>
        <w:t>se o distincție clară între sursa utilizată pentru a răspunde la întrebările din evaluare referitoare la (i) efectele directe, (ii) efectele indirecte și (iii) proporționalitatea și caracterul adecvat al ajutorului. De asemenea, evaluatorul descrie în această secțiune eventualele dificultăți întâmpinate în a găsi datele cele mai adecvate sau datele planificate, precum și ce soluții a adoptat în cazul în care colectarea și utilizarea datelor s-a abătut în vreun fel de la ceea ce se descrie în planul de evaluare relevant.</w:t>
      </w:r>
    </w:p>
    <w:p w14:paraId="23E3BF65" w14:textId="77777777" w:rsidR="009B45EA" w:rsidRPr="00714BE8" w:rsidRDefault="009B45EA" w:rsidP="00101CC4">
      <w:pPr>
        <w:pStyle w:val="ListParagraph"/>
        <w:jc w:val="both"/>
        <w:rPr>
          <w:i/>
          <w:iCs/>
        </w:rPr>
      </w:pPr>
    </w:p>
    <w:p w14:paraId="6EF84320" w14:textId="6E6ECD18" w:rsidR="00930F89" w:rsidRDefault="00042520" w:rsidP="00930F89">
      <w:pPr>
        <w:pStyle w:val="ListParagraph"/>
        <w:numPr>
          <w:ilvl w:val="0"/>
          <w:numId w:val="2"/>
        </w:numPr>
        <w:jc w:val="both"/>
      </w:pPr>
      <w:r>
        <w:rPr>
          <w:b/>
        </w:rPr>
        <w:t>Întrebări adresate în cadrul evaluării și metode de evaluare</w:t>
      </w:r>
      <w:r>
        <w:t xml:space="preserve"> (maximum </w:t>
      </w:r>
      <w:r w:rsidRPr="00BD32F5">
        <w:t>3</w:t>
      </w:r>
      <w:r>
        <w:t xml:space="preserve"> </w:t>
      </w:r>
      <w:r w:rsidRPr="00BD32F5">
        <w:t>000</w:t>
      </w:r>
      <w:r>
        <w:t xml:space="preserve"> de cuvinte, incluzând tabelele și graficele)</w:t>
      </w:r>
    </w:p>
    <w:p w14:paraId="7DA5B6F2" w14:textId="34E4EC26" w:rsidR="00DA73AF" w:rsidRDefault="00DA73AF" w:rsidP="35A1FF21">
      <w:pPr>
        <w:pStyle w:val="ListParagraph"/>
        <w:jc w:val="both"/>
        <w:rPr>
          <w:i/>
          <w:iCs/>
        </w:rPr>
      </w:pPr>
      <w:r>
        <w:rPr>
          <w:i/>
        </w:rPr>
        <w:t xml:space="preserve">Evaluatorul ar trebui să descrie în această secțiune întrebările și metodele de evaluare utilizate pentru analizele raportate mai jos, făcând o distincție clară între metodele utilizate pentru a răspunde la întrebările adresate în cadrul evaluării referitoare la (i) efectele directe, (ii) efectele indirecte și (iii) proporționalitatea și caracterul adecvat al ajutorului. </w:t>
      </w:r>
      <w:bookmarkStart w:id="0" w:name="_Hlk188623651"/>
      <w:r>
        <w:rPr>
          <w:i/>
        </w:rPr>
        <w:t>În plus, evaluatorul descrie, dacă este cazul, în ce măsură întrebările adresate în cadrul evaluării și/sau metodologiile de evaluare aplicate diferă de cele indicate în planul de evaluare relevant, explică de ce au apărut diferențele respective și modul în care acestea pot afecta capacitatea de evaluare a schemei de ajutoare.</w:t>
      </w:r>
      <w:bookmarkEnd w:id="0"/>
    </w:p>
    <w:p w14:paraId="7B316C07" w14:textId="77777777" w:rsidR="00382D58" w:rsidRPr="00714BE8" w:rsidRDefault="00382D58" w:rsidP="00DA73AF">
      <w:pPr>
        <w:pStyle w:val="ListParagraph"/>
        <w:jc w:val="both"/>
        <w:rPr>
          <w:i/>
          <w:iCs/>
          <w:lang w:val="fr-BE"/>
        </w:rPr>
      </w:pPr>
    </w:p>
    <w:p w14:paraId="72A0148C" w14:textId="5C543403" w:rsidR="00226ADF" w:rsidRPr="0015580A" w:rsidRDefault="00226ADF" w:rsidP="007B1C2F">
      <w:pPr>
        <w:pStyle w:val="ListParagraph"/>
        <w:numPr>
          <w:ilvl w:val="0"/>
          <w:numId w:val="2"/>
        </w:numPr>
        <w:jc w:val="both"/>
      </w:pPr>
      <w:r>
        <w:rPr>
          <w:b/>
        </w:rPr>
        <w:t>Rezultate</w:t>
      </w:r>
      <w:r>
        <w:t xml:space="preserve"> (maximum </w:t>
      </w:r>
      <w:r w:rsidRPr="00BD32F5">
        <w:t>20</w:t>
      </w:r>
      <w:r>
        <w:t xml:space="preserve"> </w:t>
      </w:r>
      <w:r w:rsidRPr="00BD32F5">
        <w:t>000</w:t>
      </w:r>
      <w:r>
        <w:t xml:space="preserve"> de cuvinte, incluzând tabelele și graficele)</w:t>
      </w:r>
    </w:p>
    <w:p w14:paraId="341BDC2C" w14:textId="2B1D15AC" w:rsidR="006969FD" w:rsidRPr="0015580A" w:rsidRDefault="00F15F70" w:rsidP="0015580A">
      <w:pPr>
        <w:pStyle w:val="ListParagraph"/>
        <w:numPr>
          <w:ilvl w:val="1"/>
          <w:numId w:val="2"/>
        </w:numPr>
        <w:jc w:val="both"/>
        <w:rPr>
          <w:u w:val="single"/>
        </w:rPr>
      </w:pPr>
      <w:r>
        <w:rPr>
          <w:u w:val="single"/>
        </w:rPr>
        <w:t>Statistici descriptive</w:t>
      </w:r>
      <w:r w:rsidR="00714BE8">
        <w:rPr>
          <w:u w:val="single"/>
        </w:rPr>
        <w:t>.</w:t>
      </w:r>
      <w:r>
        <w:t xml:space="preserve"> </w:t>
      </w:r>
      <w:r>
        <w:rPr>
          <w:i/>
        </w:rPr>
        <w:t>Această subsecțiune este consacrată monitorizării rezultatelor. Prin urmare, aceasta include cifre referitoare de exemplu la numărul de subiecți care au solicitat ajutorul, numărul beneficiarilor reali, fondurile distribuite până în prezent etc., defalcate după caz pe subgrupe de populație.</w:t>
      </w:r>
    </w:p>
    <w:p w14:paraId="13628137" w14:textId="46970810" w:rsidR="00982090" w:rsidRDefault="00226ADF" w:rsidP="00982090">
      <w:pPr>
        <w:pStyle w:val="ListParagraph"/>
        <w:numPr>
          <w:ilvl w:val="1"/>
          <w:numId w:val="2"/>
        </w:numPr>
        <w:jc w:val="both"/>
      </w:pPr>
      <w:r>
        <w:rPr>
          <w:u w:val="single"/>
        </w:rPr>
        <w:t>Analiză cauzală</w:t>
      </w:r>
      <w:r w:rsidR="00714BE8">
        <w:rPr>
          <w:u w:val="single"/>
        </w:rPr>
        <w:t>.</w:t>
      </w:r>
      <w:r>
        <w:rPr>
          <w:b/>
        </w:rPr>
        <w:t xml:space="preserve"> </w:t>
      </w:r>
      <w:r>
        <w:rPr>
          <w:i/>
        </w:rPr>
        <w:t>Această subsecțiune este consacrată raportării rezultatelor complete ale analizei și cuprinde noi subsecțiuni explicite cu privire la (i) efectele directe, (ii) efectele indirecte, (iii) proporționalitatea și, respectiv, caracterul adecvat al ajutorului. Prin urmare, fiecare dintre aceste subsecțiuni ar trebui să fie organizată intern prin raportare la întrebarea din evaluare la care se răspunde. Evaluatorul ar trebui să explice – în acest caz – de ce la unele întrebări nu s-a furnizat (încă) un răspuns</w:t>
      </w:r>
      <w:r>
        <w:t xml:space="preserve">. </w:t>
      </w:r>
    </w:p>
    <w:p w14:paraId="697EB378" w14:textId="77777777" w:rsidR="0015580A" w:rsidRPr="00714BE8" w:rsidRDefault="0015580A" w:rsidP="0015580A">
      <w:pPr>
        <w:pStyle w:val="ListParagraph"/>
        <w:ind w:left="1778"/>
        <w:jc w:val="both"/>
        <w:rPr>
          <w:lang w:val="fr-BE"/>
        </w:rPr>
      </w:pPr>
    </w:p>
    <w:p w14:paraId="7CD080A7" w14:textId="10B48AFC" w:rsidR="00815C51" w:rsidRDefault="00815C51" w:rsidP="007B1C2F">
      <w:pPr>
        <w:pStyle w:val="ListParagraph"/>
        <w:numPr>
          <w:ilvl w:val="0"/>
          <w:numId w:val="2"/>
        </w:numPr>
        <w:jc w:val="both"/>
      </w:pPr>
      <w:r>
        <w:rPr>
          <w:b/>
        </w:rPr>
        <w:t>Observații finale</w:t>
      </w:r>
      <w:r>
        <w:t xml:space="preserve"> (maximum </w:t>
      </w:r>
      <w:r w:rsidRPr="00BD32F5">
        <w:t>3</w:t>
      </w:r>
      <w:r>
        <w:t xml:space="preserve"> </w:t>
      </w:r>
      <w:r w:rsidRPr="00BD32F5">
        <w:t>000</w:t>
      </w:r>
      <w:r>
        <w:t xml:space="preserve"> de cuvinte, incluzând tabelele și graficele)</w:t>
      </w:r>
    </w:p>
    <w:p w14:paraId="22C46CC9" w14:textId="0CEF7E03" w:rsidR="00815C51" w:rsidRDefault="3A8E4D71" w:rsidP="35A1FF21">
      <w:pPr>
        <w:pStyle w:val="ListParagraph"/>
        <w:jc w:val="both"/>
        <w:rPr>
          <w:i/>
          <w:iCs/>
        </w:rPr>
      </w:pPr>
      <w:r>
        <w:rPr>
          <w:i/>
        </w:rPr>
        <w:t xml:space="preserve"> Sinteza rezultatelor principale, a învățămintelor care trebuie desprinse și a implicațiilor pentru politici.</w:t>
      </w:r>
    </w:p>
    <w:p w14:paraId="3AA7BA23" w14:textId="77777777" w:rsidR="00B32F3A" w:rsidRPr="00815C51" w:rsidRDefault="00B32F3A" w:rsidP="00815C51">
      <w:pPr>
        <w:pStyle w:val="ListParagraph"/>
        <w:jc w:val="both"/>
        <w:rPr>
          <w:i/>
          <w:iCs/>
          <w:lang w:val="en-US"/>
        </w:rPr>
      </w:pPr>
    </w:p>
    <w:p w14:paraId="12DF4DC2" w14:textId="64B131CD" w:rsidR="00BB00C0" w:rsidRDefault="00BB00C0" w:rsidP="007B1C2F">
      <w:pPr>
        <w:pStyle w:val="ListParagraph"/>
        <w:numPr>
          <w:ilvl w:val="0"/>
          <w:numId w:val="2"/>
        </w:numPr>
        <w:jc w:val="both"/>
      </w:pPr>
      <w:r>
        <w:rPr>
          <w:b/>
        </w:rPr>
        <w:t>Referințe</w:t>
      </w:r>
      <w:r>
        <w:t xml:space="preserve"> (pentru această secțiune nu se indică numărul de cuvinte)</w:t>
      </w:r>
    </w:p>
    <w:p w14:paraId="1C32E61B" w14:textId="3020DDD5" w:rsidR="00B33A2E" w:rsidRPr="00B33A2E" w:rsidRDefault="00B33A2E" w:rsidP="00B33A2E">
      <w:pPr>
        <w:pStyle w:val="ListParagraph"/>
        <w:jc w:val="both"/>
        <w:rPr>
          <w:i/>
          <w:iCs/>
        </w:rPr>
      </w:pPr>
      <w:r>
        <w:rPr>
          <w:i/>
        </w:rPr>
        <w:t>Această secțiune include toate (și exclusiv) referințele (inclusiv la articole, rapoarte, cărți, site-uri web etc.) citate în raportul de mai sus.</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Se adresează mulțumiri Centrului de competențe pentru evaluare microeconomică (CC-ME) din cadrul Centrului Comun de Cercetare al Comisiei Europene pentru observațiile și sugestiile sale.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4BE8"/>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37080"/>
    <w:rsid w:val="00AB01FA"/>
    <w:rsid w:val="00AB2602"/>
    <w:rsid w:val="00AC147F"/>
    <w:rsid w:val="00AF4161"/>
    <w:rsid w:val="00B1675B"/>
    <w:rsid w:val="00B32F3A"/>
    <w:rsid w:val="00B33A2E"/>
    <w:rsid w:val="00B3455E"/>
    <w:rsid w:val="00B561B5"/>
    <w:rsid w:val="00B70E26"/>
    <w:rsid w:val="00B8267C"/>
    <w:rsid w:val="00BB00C0"/>
    <w:rsid w:val="00BD32F5"/>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54531875-516D-46A8-9F0C-CDE83FD6A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839</Words>
  <Characters>4667</Characters>
  <Application>Microsoft Office Word</Application>
  <DocSecurity>0</DocSecurity>
  <Lines>93</Lines>
  <Paragraphs>48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DARABANA-IONESCU Daniela (DGT)</cp:lastModifiedBy>
  <cp:revision>4</cp:revision>
  <dcterms:created xsi:type="dcterms:W3CDTF">2025-02-19T09:43:00Z</dcterms:created>
  <dcterms:modified xsi:type="dcterms:W3CDTF">2025-02-21T13:51:00Z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