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Default="002110BB" w:rsidP="00BB00C0">
      <w:pPr>
        <w:rPr>
          <w:lang w:val="en-US"/>
        </w:rPr>
      </w:pPr>
    </w:p>
    <w:p w14:paraId="450063A1" w14:textId="358218AD" w:rsidR="007B1C2F" w:rsidRPr="000C7014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</w:rPr>
        <w:t xml:space="preserve">Naslov koji evaluator slobodno odabire za izvješće</w:t>
      </w:r>
    </w:p>
    <w:p w14:paraId="2655C4E1" w14:textId="7F86257D" w:rsidR="007B1C2F" w:rsidRDefault="007B1C2F" w:rsidP="007B1C2F">
      <w:pPr>
        <w:jc w:val="center"/>
      </w:pPr>
      <w:r>
        <w:t xml:space="preserve">Izvješće sastavljeno radi ispunjavanja obveza navedenih u Odluci Europske komisije br.</w:t>
      </w:r>
      <w:r w:rsidR="000A1B2E">
        <w:rPr>
          <w:rStyle w:val="FootnoteReference"/>
          <w:lang w:val="en-US"/>
        </w:rPr>
        <w:footnoteReference w:id="1"/>
      </w:r>
      <w:r>
        <w:t xml:space="preserve"> o SA.######</w:t>
      </w:r>
    </w:p>
    <w:p w14:paraId="72C5222F" w14:textId="456F89EF" w:rsidR="003027ED" w:rsidRDefault="003027ED" w:rsidP="007B1C2F">
      <w:pPr>
        <w:jc w:val="center"/>
      </w:pPr>
      <w:r>
        <w:t xml:space="preserve">Datum aktualne verzije</w:t>
      </w:r>
    </w:p>
    <w:p w14:paraId="72223CFC" w14:textId="77777777" w:rsidR="00885636" w:rsidRDefault="00885636" w:rsidP="007B1C2F">
      <w:pPr>
        <w:jc w:val="center"/>
        <w:rPr>
          <w:lang w:val="en-US"/>
        </w:rPr>
      </w:pPr>
    </w:p>
    <w:p w14:paraId="1B325254" w14:textId="531E3535" w:rsidR="00301572" w:rsidRDefault="00301572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Sažetak</w:t>
      </w:r>
      <w:r>
        <w:t xml:space="preserve"> (najviše 1000 riječi uključujući tablice i brojke)</w:t>
      </w:r>
    </w:p>
    <w:p w14:paraId="5A1F4C42" w14:textId="3058CA97" w:rsidR="005B458B" w:rsidRDefault="00D154DE" w:rsidP="00D154DE">
      <w:pPr>
        <w:pStyle w:val="ListParagraph"/>
        <w:jc w:val="both"/>
        <w:rPr>
          <w:i/>
          <w:iCs/>
        </w:rPr>
      </w:pPr>
      <w:r>
        <w:rPr>
          <w:i/>
        </w:rPr>
        <w:t xml:space="preserve">Evaluator ukratko opisuje (može i u natuknicama) ciljeve programa potpore, metode korištene za njegovu analizu, podatke, glavne rezultate i političke pouke koje mogu biti korisne za budućnost.</w:t>
      </w:r>
    </w:p>
    <w:p w14:paraId="0B85983E" w14:textId="77777777" w:rsidR="007E0B9F" w:rsidRPr="00780004" w:rsidRDefault="007E0B9F" w:rsidP="00D154DE">
      <w:pPr>
        <w:pStyle w:val="ListParagraph"/>
        <w:jc w:val="both"/>
        <w:rPr>
          <w:i/>
          <w:iCs/>
          <w:lang w:val="en-US"/>
        </w:rPr>
      </w:pPr>
    </w:p>
    <w:p w14:paraId="1C5C6779" w14:textId="17B05F7D" w:rsidR="00671E88" w:rsidRDefault="00671E88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Identifikacija</w:t>
      </w:r>
      <w:r>
        <w:rPr>
          <w:b/>
          <w:bCs/>
          <w:b/>
          <w:bCs/>
        </w:rPr>
        <w:t xml:space="preserve"> </w:t>
      </w:r>
      <w:r>
        <w:rPr>
          <w:b/>
          <w:bCs/>
        </w:rPr>
        <w:t xml:space="preserve">programa</w:t>
      </w:r>
      <w:r>
        <w:t xml:space="preserve"> (ovaj odjeljak ne računa se u broj riječi)</w:t>
      </w:r>
    </w:p>
    <w:p w14:paraId="6C0FEFBF" w14:textId="2B4E2804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Zemlja:</w:t>
      </w:r>
    </w:p>
    <w:p w14:paraId="56B9F808" w14:textId="656D3F0D" w:rsidR="00671E88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Identifikator:</w:t>
      </w:r>
      <w:r>
        <w:rPr>
          <w:i/>
        </w:rPr>
        <w:t xml:space="preserve"> </w:t>
      </w:r>
      <w:r>
        <w:rPr>
          <w:i/>
        </w:rPr>
        <w:t xml:space="preserve">SA.######</w:t>
      </w:r>
    </w:p>
    <w:p w14:paraId="3FFCDC50" w14:textId="1763BBBB" w:rsidR="00505990" w:rsidRPr="00780004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Priroda izvješća o evaluaciji:</w:t>
      </w:r>
      <w:r>
        <w:rPr>
          <w:i/>
        </w:rPr>
        <w:t xml:space="preserve"> </w:t>
      </w:r>
      <w:r>
        <w:rPr>
          <w:i/>
        </w:rPr>
        <w:t xml:space="preserve">privremeno/konačno/dodatno izvješće</w:t>
      </w:r>
    </w:p>
    <w:p w14:paraId="7879AEDB" w14:textId="5C9790E7" w:rsidR="005B3644" w:rsidRPr="00780004" w:rsidRDefault="005B3644" w:rsidP="35A1FF21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Naziv programa potpore:</w:t>
      </w:r>
      <w:r>
        <w:rPr>
          <w:i/>
        </w:rPr>
        <w:t xml:space="preserve"> </w:t>
      </w:r>
    </w:p>
    <w:p w14:paraId="320E2D74" w14:textId="3D9ECA88" w:rsidR="002C693D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Odnosi li se državna potpora na:</w:t>
      </w:r>
    </w:p>
    <w:p w14:paraId="2DC58223" w14:textId="7AD10363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 xml:space="preserve">program koji podliježe evaluaciji u skladu s člankom 1. stavkom 2. točkom (a) Uredbe (EU) br. 651/2014?</w:t>
      </w:r>
    </w:p>
    <w:p w14:paraId="6E6BDA16" w14:textId="17A94946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 xml:space="preserve">program potpore prijavljen Komisiji u skladu s člankom 108. stavkom 3. UFEU-a?</w:t>
      </w:r>
    </w:p>
    <w:p w14:paraId="6DC35D7F" w14:textId="315C6415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Vremenski okvir za isplatu sredstava, od prvog do posljednjeg obroka:</w:t>
      </w:r>
    </w:p>
    <w:p w14:paraId="2D8E257C" w14:textId="10DBFC12" w:rsidR="005045F9" w:rsidRPr="00780004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Ukupan iznos javnih sredstava dodijeljenih tijekom cijelog vremenskog okvira:</w:t>
      </w:r>
    </w:p>
    <w:p w14:paraId="3B4E3792" w14:textId="539D11EF" w:rsidR="00AB01FA" w:rsidRPr="00780004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Instrument potpore (npr. izravna bespovratna sredstva, porezna pogodnost, jamstvo itd.):</w:t>
      </w:r>
    </w:p>
    <w:p w14:paraId="5E65DA76" w14:textId="184F8D59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Raspored izvješćivanja (kad se očekuju sljedeća izvješća, ako će ih biti?):</w:t>
      </w:r>
      <w:r>
        <w:rPr>
          <w:i/>
        </w:rPr>
        <w:t xml:space="preserve"> </w:t>
      </w:r>
    </w:p>
    <w:p w14:paraId="2FCC7550" w14:textId="0FCC8A5E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Tijela nadležna za financiranje, provedbu i upravljanje programom državnih potpora:</w:t>
      </w:r>
      <w:r>
        <w:rPr>
          <w:i/>
        </w:rPr>
        <w:t xml:space="preserve"> </w:t>
      </w:r>
    </w:p>
    <w:p w14:paraId="0D6703F1" w14:textId="1DFA8BA8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Evaluator:</w:t>
      </w:r>
    </w:p>
    <w:p w14:paraId="2F1987A6" w14:textId="1D997FA4" w:rsidR="007B1C2F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Internetske stranice i druga relevantna mjesta na kojima će se ovo izvješće objaviti nakon odobrenja:</w:t>
      </w:r>
      <w:r>
        <w:rPr>
          <w:i/>
        </w:rPr>
        <w:t xml:space="preserve"> </w:t>
      </w:r>
    </w:p>
    <w:p w14:paraId="1D82D07B" w14:textId="77777777" w:rsidR="007E0B9F" w:rsidRPr="00780004" w:rsidRDefault="007E0B9F" w:rsidP="007E0B9F">
      <w:pPr>
        <w:pStyle w:val="ListParagraph"/>
        <w:ind w:left="1778"/>
        <w:jc w:val="both"/>
        <w:rPr>
          <w:i/>
          <w:iCs/>
          <w:lang w:val="en-US"/>
        </w:rPr>
      </w:pPr>
    </w:p>
    <w:p w14:paraId="466E78F3" w14:textId="35C0C5CA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Uvod</w:t>
      </w:r>
      <w:r>
        <w:t xml:space="preserve"> (najviše 3000 riječi uključujući tablice i brojke)</w:t>
      </w:r>
    </w:p>
    <w:p w14:paraId="5B057327" w14:textId="35CEEF75" w:rsidR="006A1A01" w:rsidRDefault="00780004" w:rsidP="007B1C2F">
      <w:pPr>
        <w:pStyle w:val="ListParagraph"/>
        <w:jc w:val="both"/>
        <w:rPr>
          <w:rStyle w:val="Bodytext1"/>
        </w:rPr>
      </w:pPr>
      <w:r>
        <w:rPr>
          <w:rStyle w:val="Bodytext1"/>
        </w:rPr>
        <w:t xml:space="preserve">Evaluator opisuje makroekonomski okvir i sve ex post evaluacije koje su provedene za iste ili vrlo slične programe, uključujući u drugim zemljama EU-a ili izvan EU-a.</w:t>
      </w:r>
    </w:p>
    <w:p w14:paraId="13589627" w14:textId="77777777" w:rsidR="007E0B9F" w:rsidRPr="006A1A01" w:rsidRDefault="007E0B9F" w:rsidP="007B1C2F">
      <w:pPr>
        <w:pStyle w:val="ListParagraph"/>
        <w:jc w:val="both"/>
        <w:rPr>
          <w:i/>
          <w:iCs/>
          <w:lang w:val="en-US"/>
        </w:rPr>
      </w:pPr>
    </w:p>
    <w:p w14:paraId="309BA752" w14:textId="6B5E98F8" w:rsidR="006A1A01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Pojedinosti o programu potpore</w:t>
      </w:r>
      <w:r>
        <w:t xml:space="preserve"> (najviše 3000 riječi uključujući tablice i brojke)</w:t>
      </w:r>
    </w:p>
    <w:p w14:paraId="116CBCD2" w14:textId="74FAEE8E" w:rsidR="007E0B9F" w:rsidRDefault="00AC147F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Evaluator izvješćuje o općim i posebnim ciljevima intervencije potpore, kao i o razlozima za njezino uvođenje.</w:t>
      </w:r>
      <w:r>
        <w:rPr>
          <w:i/>
        </w:rPr>
        <w:t xml:space="preserve"> </w:t>
      </w:r>
      <w:r>
        <w:rPr>
          <w:i/>
        </w:rPr>
        <w:t xml:space="preserve">U ovom se odjeljku ukratko opisuje i pravni okvir predmetne potpore, kao i njezine promjene tijekom vremena.</w:t>
      </w:r>
      <w:r>
        <w:rPr>
          <w:i/>
        </w:rPr>
        <w:t xml:space="preserve"> </w:t>
      </w:r>
      <w:r>
        <w:rPr>
          <w:i/>
        </w:rPr>
        <w:t xml:space="preserve">Konkretno, evaluator opisuje (među ostalim) ciljnu populaciju (korisnici kojima je intervencija namijenjena), uvjete prihvatljivosti, kriterije odabira, maksimalni iznos sredstava dodijeljen svakom korisniku, intenzitet potpore, financijski instrument i ukupni iznos sredstava dodijeljenih za intervenciju.</w:t>
      </w:r>
    </w:p>
    <w:p w14:paraId="22BFCD72" w14:textId="1AE6558D" w:rsidR="007B36C6" w:rsidRPr="00AC147F" w:rsidRDefault="00BE7BAA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</w:p>
    <w:p w14:paraId="288DC053" w14:textId="2121243D" w:rsidR="00004CFA" w:rsidRDefault="00101CC4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Podaci</w:t>
      </w:r>
      <w:r>
        <w:t xml:space="preserve"> (najviše 3000 riječi, uključujući tablice i brojke)</w:t>
      </w:r>
    </w:p>
    <w:p w14:paraId="68F23D81" w14:textId="0C5797AE" w:rsidR="00101CC4" w:rsidRDefault="00101CC4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Ovaj je odjeljak posvećen opisu izvora podataka upotrijebljenih u ovom izvješću, pri čemu se jasno razlikuje izvor za odgovaranje na evaluacijska pitanja o (i) izravnim učincima, (ii) neizravnim učincima te (iii) proporcionalnosti i primjerenosti potpore.</w:t>
      </w:r>
      <w:r>
        <w:rPr>
          <w:i/>
        </w:rPr>
        <w:t xml:space="preserve"> </w:t>
      </w:r>
      <w:r>
        <w:rPr>
          <w:i/>
        </w:rPr>
        <w:t xml:space="preserve">Evaluator opisuje i sve poteškoće u pronalaženju najprikladnijih ili planiranih podataka te usvojena rješenja ako se prikupljanje i upotreba podataka razlikuju od opisa u relevantnom planu evaluacije.</w:t>
      </w:r>
    </w:p>
    <w:p w14:paraId="23E3BF65" w14:textId="77777777" w:rsidR="009B45EA" w:rsidRPr="001E337B" w:rsidRDefault="009B45EA" w:rsidP="00101CC4">
      <w:pPr>
        <w:pStyle w:val="ListParagraph"/>
        <w:jc w:val="both"/>
        <w:rPr>
          <w:i/>
          <w:iCs/>
          <w:lang w:val="en-US"/>
        </w:rPr>
      </w:pPr>
    </w:p>
    <w:p w14:paraId="6EF84320" w14:textId="6E6ECD18" w:rsidR="00930F89" w:rsidRDefault="00042520" w:rsidP="00930F89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Evaluacijska pitanja i metode</w:t>
      </w:r>
      <w:r>
        <w:t xml:space="preserve"> (najviše 3 000 riječi uključujući tablice i brojke)</w:t>
      </w:r>
    </w:p>
    <w:p w14:paraId="7DA5B6F2" w14:textId="34E4EC26" w:rsidR="00DA73AF" w:rsidRDefault="00DA73AF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Evaluator opisuje evaluacijska pitanja i metode korištene za analize navedene u nastavku, jasno razlikujući metode upotrijebljene za odgovaranje na evaluacijska pitanja o (i) izravnim učincima, (ii) neizravnim učincima te (iii) proporcionalnosti i primjerenosti potpore.</w:t>
      </w:r>
      <w:r>
        <w:rPr>
          <w:i/>
        </w:rPr>
        <w:t xml:space="preserve"> </w:t>
      </w:r>
      <w:bookmarkStart w:id="0" w:name="_Hlk188623651"/>
      <w:r>
        <w:rPr>
          <w:i/>
        </w:rPr>
        <w:t xml:space="preserve">Osim toga, evaluator opisuje, ako je primjenjivo, u kojoj se mjeri evaluacijska pitanja i/ili primijenjene metodologije razlikuju od onih utvrđenih u relevantnom planu evaluacije, objašnjava zašto se razlikuju i kako ta promjena može utjecati na sposobnost evaluacije državne potpore.</w:t>
      </w:r>
      <w:bookmarkEnd w:id="0"/>
    </w:p>
    <w:p w14:paraId="7B316C07" w14:textId="77777777" w:rsidR="00382D58" w:rsidRPr="00067AB8" w:rsidRDefault="00382D58" w:rsidP="00DA73AF">
      <w:pPr>
        <w:pStyle w:val="ListParagraph"/>
        <w:jc w:val="both"/>
        <w:rPr>
          <w:i/>
          <w:iCs/>
          <w:lang w:val="en-US"/>
        </w:rPr>
      </w:pPr>
    </w:p>
    <w:p w14:paraId="72A0148C" w14:textId="5C543403" w:rsidR="00226ADF" w:rsidRPr="0015580A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Rezultati</w:t>
      </w:r>
      <w:r>
        <w:t xml:space="preserve"> (najviše 20 000 riječi uključujući tablice i brojke)</w:t>
      </w:r>
    </w:p>
    <w:p w14:paraId="341BDC2C" w14:textId="151613AF" w:rsidR="006969FD" w:rsidRPr="0015580A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>
        <w:rPr>
          <w:u w:val="single"/>
        </w:rPr>
        <w:t xml:space="preserve">Opisna statistika.</w:t>
      </w:r>
      <w:r>
        <w:t xml:space="preserve"> </w:t>
      </w:r>
      <w:r>
        <w:rPr>
          <w:i/>
        </w:rPr>
        <w:t xml:space="preserve">Ovaj pododjeljak posvećen je praćenju rezultata.</w:t>
      </w:r>
      <w:r>
        <w:rPr>
          <w:i/>
        </w:rPr>
        <w:t xml:space="preserve"> </w:t>
      </w:r>
      <w:r>
        <w:rPr>
          <w:i/>
        </w:rPr>
        <w:t xml:space="preserve">Uključuje brojke kao što su broj subjekata koji su podnijeli zahtjev za potporu, broj stvarnih korisnika, dosad raspodijeljena sredstva itd., sa svim relevantnim raščlambama po podskupinama stanovništva.</w:t>
      </w:r>
    </w:p>
    <w:p w14:paraId="13628137" w14:textId="4995F74C" w:rsidR="00982090" w:rsidRDefault="00226ADF" w:rsidP="00982090">
      <w:pPr>
        <w:pStyle w:val="ListParagraph"/>
        <w:numPr>
          <w:ilvl w:val="1"/>
          <w:numId w:val="2"/>
        </w:numPr>
        <w:jc w:val="both"/>
      </w:pPr>
      <w:r>
        <w:rPr>
          <w:u w:val="single"/>
        </w:rPr>
        <w:t xml:space="preserve">Uzročno-posljedična analiza.</w:t>
      </w:r>
      <w:r>
        <w:rPr>
          <w:b/>
        </w:rPr>
        <w:t xml:space="preserve"> </w:t>
      </w:r>
      <w:r>
        <w:rPr>
          <w:i/>
        </w:rPr>
        <w:t xml:space="preserve">Ovaj pododjeljak posvećen je izvješćivanju o potpunim rezultatima analize, a dodatni izričiti pododjeljci posvećeni su (i) izravnim učincima, (ii) neizravnim učincima, (iii) učincima proporcionalnosti i primjerenosti potpore.</w:t>
      </w:r>
      <w:r>
        <w:rPr>
          <w:i/>
        </w:rPr>
        <w:t xml:space="preserve"> </w:t>
      </w:r>
      <w:r>
        <w:rPr>
          <w:i/>
        </w:rPr>
        <w:t xml:space="preserve">Svaki od njih trebao bi biti interno organiziran po odgovorima na evaluacijska pitanja.</w:t>
      </w:r>
      <w:r>
        <w:rPr>
          <w:i/>
        </w:rPr>
        <w:t xml:space="preserve"> </w:t>
      </w:r>
      <w:r>
        <w:rPr>
          <w:i/>
        </w:rPr>
        <w:t xml:space="preserve">Evaluator bi trebao objasniti zašto na neka pitanja (još) nije odgovoreno.</w:t>
      </w:r>
      <w:r>
        <w:t xml:space="preserve"> </w:t>
      </w:r>
    </w:p>
    <w:p w14:paraId="697EB378" w14:textId="77777777" w:rsidR="0015580A" w:rsidRPr="0015580A" w:rsidRDefault="0015580A" w:rsidP="0015580A">
      <w:pPr>
        <w:pStyle w:val="ListParagraph"/>
        <w:ind w:left="1778"/>
        <w:jc w:val="both"/>
        <w:rPr>
          <w:lang w:val="en-US"/>
        </w:rPr>
      </w:pPr>
    </w:p>
    <w:p w14:paraId="7CD080A7" w14:textId="10B48AFC" w:rsidR="00815C51" w:rsidRDefault="00815C51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Završne napomene</w:t>
      </w:r>
      <w:r>
        <w:t xml:space="preserve"> (najviše 3 000 riječi uključujući tablice i brojke)</w:t>
      </w:r>
    </w:p>
    <w:p w14:paraId="22C46CC9" w14:textId="0CEF7E03" w:rsidR="00815C51" w:rsidRDefault="3A8E4D71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  <w:r>
        <w:rPr>
          <w:i/>
        </w:rPr>
        <w:t xml:space="preserve">Sažetak glavnih rezultata, pouke i posljedice za politiku.</w:t>
      </w:r>
    </w:p>
    <w:p w14:paraId="3AA7BA23" w14:textId="77777777" w:rsidR="00B32F3A" w:rsidRPr="00815C51" w:rsidRDefault="00B32F3A" w:rsidP="00815C51">
      <w:pPr>
        <w:pStyle w:val="ListParagraph"/>
        <w:jc w:val="both"/>
        <w:rPr>
          <w:i/>
          <w:iCs/>
          <w:lang w:val="en-US"/>
        </w:rPr>
      </w:pPr>
    </w:p>
    <w:p w14:paraId="12DF4DC2" w14:textId="64B131CD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Upućivanja</w:t>
      </w:r>
      <w:r>
        <w:t xml:space="preserve"> (ovaj odjeljak ne računa se u broj riječi)</w:t>
      </w:r>
    </w:p>
    <w:p w14:paraId="1C32E61B" w14:textId="3020DDD5" w:rsidR="00B33A2E" w:rsidRPr="00B33A2E" w:rsidRDefault="00B33A2E" w:rsidP="00B33A2E">
      <w:pPr>
        <w:pStyle w:val="ListParagraph"/>
        <w:jc w:val="both"/>
        <w:rPr>
          <w:i/>
          <w:iCs/>
        </w:rPr>
      </w:pPr>
      <w:r>
        <w:rPr>
          <w:i/>
        </w:rPr>
        <w:t xml:space="preserve">Ovaj odjeljak obuhvaća sva upućivanja (uključujući članke, izvješća, knjige, internetske stranice itd.) navedena u izvješću.</w:t>
      </w:r>
    </w:p>
    <w:sectPr w:rsidR="00B33A2E" w:rsidRPr="00B33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8B29" w14:textId="77777777" w:rsidR="002615E8" w:rsidRDefault="002615E8" w:rsidP="000A1B2E">
      <w:pPr>
        <w:spacing w:after="0" w:line="240" w:lineRule="auto"/>
      </w:pPr>
      <w:r>
        <w:separator/>
      </w:r>
    </w:p>
  </w:endnote>
  <w:endnote w:type="continuationSeparator" w:id="0">
    <w:p w14:paraId="7B38FE4D" w14:textId="77777777" w:rsidR="002615E8" w:rsidRDefault="002615E8" w:rsidP="000A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8A8C" w14:textId="77777777" w:rsidR="002615E8" w:rsidRDefault="002615E8" w:rsidP="000A1B2E">
      <w:pPr>
        <w:spacing w:after="0" w:line="240" w:lineRule="auto"/>
      </w:pPr>
      <w:r>
        <w:separator/>
      </w:r>
    </w:p>
  </w:footnote>
  <w:footnote w:type="continuationSeparator" w:id="0">
    <w:p w14:paraId="7A4E2908" w14:textId="77777777" w:rsidR="002615E8" w:rsidRDefault="002615E8" w:rsidP="000A1B2E">
      <w:pPr>
        <w:spacing w:after="0" w:line="240" w:lineRule="auto"/>
      </w:pPr>
      <w:r>
        <w:continuationSeparator/>
      </w:r>
    </w:p>
  </w:footnote>
  <w:footnote w:id="1">
    <w:p w14:paraId="311B6C4A" w14:textId="6EDDA998" w:rsidR="000A1B2E" w:rsidRPr="000A1B2E" w:rsidRDefault="000A1B2E" w:rsidP="000A1B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Stručnom centar za mikroekonomsku evaluaciju (CC-ME) Zajedničkog istraživačkog centra Europske komisije zahvaljuje se na komentarima i prijedlozima.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A190AD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dirty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5771D"/>
    <w:rsid w:val="00671E88"/>
    <w:rsid w:val="006748AB"/>
    <w:rsid w:val="006754B1"/>
    <w:rsid w:val="006969FD"/>
    <w:rsid w:val="006A1A01"/>
    <w:rsid w:val="006B700D"/>
    <w:rsid w:val="006B7599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82090"/>
    <w:rsid w:val="009B45EA"/>
    <w:rsid w:val="009C2C87"/>
    <w:rsid w:val="00A00647"/>
    <w:rsid w:val="00A12E40"/>
    <w:rsid w:val="00AB01FA"/>
    <w:rsid w:val="00AB2602"/>
    <w:rsid w:val="00AC147F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825D6"/>
    <w:rsid w:val="00CB0268"/>
    <w:rsid w:val="00CD74F1"/>
    <w:rsid w:val="00D154DE"/>
    <w:rsid w:val="00D2533F"/>
    <w:rsid w:val="00D5773D"/>
    <w:rsid w:val="00D61545"/>
    <w:rsid w:val="00D64638"/>
    <w:rsid w:val="00D80B72"/>
    <w:rsid w:val="00D860AF"/>
    <w:rsid w:val="00DA73AF"/>
    <w:rsid w:val="00E21F5B"/>
    <w:rsid w:val="00E504ED"/>
    <w:rsid w:val="00E86FCA"/>
    <w:rsid w:val="00EC1B4C"/>
    <w:rsid w:val="00F0323E"/>
    <w:rsid w:val="00F048D3"/>
    <w:rsid w:val="00F12C2C"/>
    <w:rsid w:val="00F15F70"/>
    <w:rsid w:val="00F228CC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3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705</Words>
  <Characters>3921</Characters>
  <Application>Microsoft Office Word</Application>
  <DocSecurity>4</DocSecurity>
  <Lines>78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CIUNTU Dana (COMP)</cp:lastModifiedBy>
  <cp:revision>2</cp:revision>
  <dcterms:created xsi:type="dcterms:W3CDTF">2025-02-19T09:43:00Z</dcterms:created>
  <dcterms:modified xsi:type="dcterms:W3CDTF">2025-02-19T09:43:00Z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