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841E1F" w:rsidRPr="00C4641F" w14:paraId="3F8914D5" w14:textId="77777777" w:rsidTr="00C43C00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24A74183" w14:textId="77777777" w:rsidR="00841E1F" w:rsidRPr="00C4641F" w:rsidRDefault="00841E1F" w:rsidP="00C43C00">
            <w:pPr>
              <w:pStyle w:val="Heading2"/>
              <w:spacing w:before="240" w:after="240"/>
              <w:rPr>
                <w:color w:val="auto"/>
              </w:rPr>
            </w:pPr>
            <w:bookmarkStart w:id="0" w:name="_Toc414370370"/>
            <w:bookmarkStart w:id="1" w:name="_Toc416949022"/>
            <w:r>
              <w:rPr>
                <w:color w:val="auto"/>
              </w:rPr>
              <w:t>Parti III.8 - Formola ta' Informazzjoni Supplimentari għan-notifika ta' pjan ta' evalwazzjoni</w:t>
            </w:r>
            <w:bookmarkEnd w:id="0"/>
            <w:bookmarkEnd w:id="1"/>
            <w:r>
              <w:rPr>
                <w:color w:val="auto"/>
              </w:rPr>
              <w:t xml:space="preserve"> </w:t>
            </w:r>
          </w:p>
        </w:tc>
      </w:tr>
    </w:tbl>
    <w:p w14:paraId="08F10BD8" w14:textId="77777777" w:rsidR="00841E1F" w:rsidRPr="00F15324" w:rsidRDefault="00841E1F" w:rsidP="00841E1F">
      <w:pPr>
        <w:spacing w:before="120" w:after="120"/>
        <w:jc w:val="both"/>
        <w:rPr>
          <w:i/>
          <w:iCs/>
        </w:rPr>
      </w:pPr>
      <w:r>
        <w:rPr>
          <w:i/>
        </w:rPr>
        <w:t>L-Istati Membri għandhom jużaw din il-formola għan-notifika ta’ pjan ta’ evalwazzjoni skont l-Artikolu 1(2)(a) tar-Regolament (UE) Nru 651/2014</w:t>
      </w:r>
      <w:r>
        <w:rPr>
          <w:rStyle w:val="FootnoteReference"/>
          <w:i/>
          <w:iCs/>
        </w:rPr>
        <w:footnoteReference w:id="1"/>
      </w:r>
      <w:r>
        <w:rPr>
          <w:i/>
        </w:rPr>
        <w:t>, l-Artikolu 1(3)(a) tar-Regolament (UE) 2022/2472</w:t>
      </w:r>
      <w:r>
        <w:rPr>
          <w:rStyle w:val="FootnoteReference"/>
          <w:i/>
          <w:iCs/>
        </w:rPr>
        <w:footnoteReference w:id="2"/>
      </w:r>
      <w:r>
        <w:rPr>
          <w:i/>
        </w:rPr>
        <w:t xml:space="preserve"> jew l-Artikolu 1(7)(a) tar-Regolament (UE) 2022/2473</w:t>
      </w:r>
      <w:r>
        <w:rPr>
          <w:rStyle w:val="FootnoteReference"/>
          <w:i/>
          <w:iCs/>
        </w:rPr>
        <w:footnoteReference w:id="3"/>
      </w:r>
      <w:r>
        <w:rPr>
          <w:i/>
        </w:rPr>
        <w:t xml:space="preserve"> u fil-każ ta’ skema ta’ għajnuna notifikata soġġetta għal evalwazzjoni kif previst fil-linji gwida rilevanti tal-Kummissjoni.</w:t>
      </w:r>
    </w:p>
    <w:p w14:paraId="2260167E" w14:textId="77777777" w:rsidR="00841E1F" w:rsidRPr="00F15324" w:rsidRDefault="00841E1F" w:rsidP="00841E1F">
      <w:pPr>
        <w:spacing w:before="120" w:after="120"/>
        <w:jc w:val="both"/>
        <w:rPr>
          <w:i/>
          <w:iCs/>
        </w:rPr>
      </w:pPr>
      <w:r>
        <w:rPr>
          <w:i/>
        </w:rPr>
        <w:t>Irreferi għad-Dokument ta' Ħidma tal-Persunal tal-Kummissjoni “Metodoloġija komuni għall-evalwazzjoni tal-għajnuna mill-Istat”</w:t>
      </w:r>
      <w:r>
        <w:rPr>
          <w:rStyle w:val="FootnoteReference"/>
          <w:i/>
          <w:iCs/>
        </w:rPr>
        <w:footnoteReference w:id="4"/>
      </w:r>
      <w:r>
        <w:rPr>
          <w:i/>
        </w:rPr>
        <w:t xml:space="preserve"> għal gwida dwar kif jiġi abbozzat pjan ta' evalwazzjoni.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96396C" w14:paraId="7EAD20CA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5B4B9C04" w14:textId="77777777" w:rsidR="00841E1F" w:rsidRPr="0096396C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Identifikazzjoni tal-iskema ta' għajnuna li se tiġi evalwata</w:t>
            </w:r>
          </w:p>
        </w:tc>
      </w:tr>
    </w:tbl>
    <w:p w14:paraId="52CFCF55" w14:textId="77777777" w:rsidR="00841E1F" w:rsidRPr="00F15324" w:rsidRDefault="00841E1F" w:rsidP="00841E1F">
      <w:pPr>
        <w:pStyle w:val="ListNumber"/>
        <w:spacing w:before="240" w:after="120"/>
      </w:pPr>
      <w:r>
        <w:t>It-titolu tal-iskema ta' għajnuna:</w:t>
      </w:r>
    </w:p>
    <w:p w14:paraId="0951C3BA" w14:textId="77777777" w:rsidR="00841E1F" w:rsidRDefault="00841E1F" w:rsidP="00841E1F">
      <w:pPr>
        <w:pStyle w:val="ListParagraph"/>
        <w:tabs>
          <w:tab w:val="left" w:leader="dot" w:pos="9072"/>
        </w:tabs>
        <w:spacing w:before="120" w:after="120"/>
        <w:ind w:left="709"/>
        <w:contextualSpacing w:val="0"/>
        <w:jc w:val="both"/>
      </w:pPr>
      <w:r>
        <w:tab/>
      </w:r>
    </w:p>
    <w:p w14:paraId="20CE73DD" w14:textId="77777777" w:rsidR="00841E1F" w:rsidRPr="00F15324" w:rsidRDefault="00841E1F" w:rsidP="00841E1F">
      <w:pPr>
        <w:pStyle w:val="ListNumber"/>
        <w:numPr>
          <w:ilvl w:val="0"/>
          <w:numId w:val="13"/>
        </w:numPr>
        <w:spacing w:before="120" w:after="120"/>
      </w:pPr>
      <w:r>
        <w:t>Il-pjan ta' evalwazzjoni jikkonċerna:</w:t>
      </w:r>
    </w:p>
    <w:p w14:paraId="2B3FAF17" w14:textId="77777777" w:rsidR="00841E1F" w:rsidRDefault="00841E1F" w:rsidP="00841E1F">
      <w:pPr>
        <w:pStyle w:val="ListNumberLevel2"/>
        <w:numPr>
          <w:ilvl w:val="0"/>
          <w:numId w:val="11"/>
        </w:numPr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01556">
        <w:fldChar w:fldCharType="separate"/>
      </w:r>
      <w:r>
        <w:fldChar w:fldCharType="end"/>
      </w:r>
      <w:r>
        <w:tab/>
        <w:t xml:space="preserve">skema soġġetta għal evalwazzjoni skont l-Artikolu 1(2)(a) tar-Regolament (UE) Nru 651/2014? </w:t>
      </w:r>
    </w:p>
    <w:p w14:paraId="452CDBF9" w14:textId="77777777" w:rsidR="00753E7F" w:rsidRDefault="00753E7F" w:rsidP="00753E7F">
      <w:pPr>
        <w:pStyle w:val="ListNumberLevel2"/>
        <w:numPr>
          <w:ilvl w:val="0"/>
          <w:numId w:val="11"/>
        </w:numPr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01556">
        <w:fldChar w:fldCharType="separate"/>
      </w:r>
      <w:r>
        <w:fldChar w:fldCharType="end"/>
      </w:r>
      <w:r>
        <w:tab/>
        <w:t xml:space="preserve">skema soġġetta għal evalwazzjoni skont l-Artikolu 1(3)(a) tar-Regolament (UE) 2022/2472? </w:t>
      </w:r>
    </w:p>
    <w:p w14:paraId="64FFB865" w14:textId="77777777" w:rsidR="00753E7F" w:rsidRPr="00F15324" w:rsidRDefault="00753E7F" w:rsidP="00753E7F">
      <w:pPr>
        <w:pStyle w:val="ListNumberLevel2"/>
        <w:numPr>
          <w:ilvl w:val="0"/>
          <w:numId w:val="11"/>
        </w:numPr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01556">
        <w:fldChar w:fldCharType="separate"/>
      </w:r>
      <w:r>
        <w:fldChar w:fldCharType="end"/>
      </w:r>
      <w:r>
        <w:tab/>
        <w:t xml:space="preserve">skema soġġetta għal evalwazzjoni skont l-Artikolu 1(7)(a) tar-Regolament (UE) 2022/2473? </w:t>
      </w:r>
    </w:p>
    <w:p w14:paraId="4151EBD5" w14:textId="77777777" w:rsidR="00841E1F" w:rsidRDefault="00841E1F" w:rsidP="00841E1F">
      <w:pPr>
        <w:pStyle w:val="ListNumberLevel2"/>
        <w:numPr>
          <w:ilvl w:val="0"/>
          <w:numId w:val="11"/>
        </w:numPr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301556">
        <w:fldChar w:fldCharType="separate"/>
      </w:r>
      <w:r>
        <w:fldChar w:fldCharType="end"/>
      </w:r>
      <w:r>
        <w:tab/>
        <w:t>skema notifikata lill-Kummissjoni skont l-Artikolu 108(3) TFUE?</w:t>
      </w:r>
    </w:p>
    <w:p w14:paraId="7ED12EDB" w14:textId="00D6CA24" w:rsidR="00841E1F" w:rsidRPr="00F15324" w:rsidRDefault="00301556" w:rsidP="00841E1F">
      <w:pPr>
        <w:pStyle w:val="ListNumber"/>
        <w:numPr>
          <w:ilvl w:val="0"/>
          <w:numId w:val="13"/>
        </w:numPr>
        <w:spacing w:before="120" w:after="120"/>
      </w:pPr>
      <w:r w:rsidRPr="00F13ECE">
        <w:t>Indika n-numru SA tal-iskema</w:t>
      </w:r>
      <w:r w:rsidR="00841E1F">
        <w:t>:</w:t>
      </w:r>
    </w:p>
    <w:p w14:paraId="39FF77A7" w14:textId="0E648619" w:rsidR="00841E1F" w:rsidRDefault="00301556" w:rsidP="00841E1F">
      <w:pPr>
        <w:pStyle w:val="ListParagraph"/>
        <w:tabs>
          <w:tab w:val="left" w:leader="dot" w:pos="9072"/>
        </w:tabs>
        <w:spacing w:before="120" w:after="120"/>
        <w:ind w:left="709"/>
        <w:contextualSpacing w:val="0"/>
        <w:jc w:val="both"/>
      </w:pPr>
      <w:r>
        <w:t>SA.</w:t>
      </w:r>
      <w:r w:rsidR="00841E1F">
        <w:tab/>
      </w:r>
    </w:p>
    <w:p w14:paraId="189E1152" w14:textId="77777777" w:rsidR="00841E1F" w:rsidRPr="00A4317C" w:rsidRDefault="00841E1F" w:rsidP="00841E1F">
      <w:pPr>
        <w:pStyle w:val="ListNumber"/>
        <w:numPr>
          <w:ilvl w:val="0"/>
          <w:numId w:val="13"/>
        </w:numPr>
        <w:spacing w:before="120" w:after="120"/>
      </w:pPr>
      <w:r>
        <w:t xml:space="preserve">Elenka l-evalwazzjonijiet </w:t>
      </w:r>
      <w:r>
        <w:rPr>
          <w:i/>
          <w:iCs/>
        </w:rPr>
        <w:t>ex ante</w:t>
      </w:r>
      <w:r>
        <w:t xml:space="preserve"> jew il-valutazzjonijiet tal-impatt eżistenti kollha fir-rigward tal-iskema ta' għajnuna u l-evalwazzjonijiet </w:t>
      </w:r>
      <w:r>
        <w:rPr>
          <w:i/>
          <w:iCs/>
        </w:rPr>
        <w:t>ex post</w:t>
      </w:r>
      <w:r>
        <w:t xml:space="preserve"> jew l-istudji li saru fl-imgħoddi fuq predeċessuri tal-iskema ta' għajnuna jew fuq skemi simili. Għal kull wieħed minn dawn l-istudji, jekk jogħġbok ipprovdi l-informazzjoni li ġejja: (a) ipprovdi deskrizzjoni fil-qosor tal-objettivi, tal-istudju, il-metodoloġiji użati, ir-</w:t>
      </w:r>
      <w:r>
        <w:lastRenderedPageBreak/>
        <w:t xml:space="preserve">riżultati u l-konklużjonijiet, u (b) l-isfidi speċifiċi li l-evalwazzjonijiet u l-istudji setgħu sabu minn perspettiva metodoloġika, pereżempju d-disponibbiltà ta' </w:t>
      </w:r>
      <w:r>
        <w:rPr>
          <w:i/>
          <w:iCs/>
        </w:rPr>
        <w:t>data</w:t>
      </w:r>
      <w:r>
        <w:t xml:space="preserve"> li hija rilevanti għall-valutazzjoni tal-pjan ta' evalwazzjoni attwali. Jekk xieraq, identifika l-oqsma jew is-suġġetti mhux koperti mill-pjanijiet ta' evalwazzjoni preċedenti li għandhom ikunu inklużi f’din l-evalwazzjoni. Ipprovdi s-sommarji ta' dawk l-evalwazzjonijiet u l-istudji fl-anness u, fejn disponibbli, il-links tal-Internet għad-dokumenti kkonċernati:</w:t>
      </w:r>
    </w:p>
    <w:p w14:paraId="030B2D7E" w14:textId="77777777" w:rsidR="00841E1F" w:rsidRDefault="00841E1F" w:rsidP="00841E1F">
      <w:pPr>
        <w:pStyle w:val="ListParagraph"/>
        <w:tabs>
          <w:tab w:val="left" w:leader="dot" w:pos="9072"/>
        </w:tabs>
        <w:spacing w:before="120" w:after="240"/>
        <w:ind w:left="709"/>
        <w:contextualSpacing w:val="0"/>
        <w:jc w:val="both"/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96396C" w14:paraId="5A5CB990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5EDCDED0" w14:textId="77777777" w:rsidR="00841E1F" w:rsidRPr="0096396C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L-objettivi tal-iskema ta' għajnuna li se tiġi evalwata</w:t>
            </w:r>
            <w:r>
              <w:rPr>
                <w:i w:val="0"/>
                <w:color w:val="auto"/>
                <w:vertAlign w:val="superscript"/>
              </w:rPr>
              <w:footnoteReference w:id="5"/>
            </w:r>
          </w:p>
        </w:tc>
      </w:tr>
    </w:tbl>
    <w:p w14:paraId="3247BEA7" w14:textId="77777777" w:rsidR="00841E1F" w:rsidRPr="00F15324" w:rsidRDefault="00C631A9" w:rsidP="00841E1F">
      <w:pPr>
        <w:pStyle w:val="ListNumber"/>
        <w:numPr>
          <w:ilvl w:val="1"/>
          <w:numId w:val="2"/>
        </w:numPr>
        <w:spacing w:before="240" w:after="120"/>
        <w:ind w:left="788" w:hanging="431"/>
      </w:pPr>
      <w:bookmarkStart w:id="2" w:name="_Ref392757682"/>
      <w:r>
        <w:t xml:space="preserve"> Ipprovdi deskrizzjoni tal-iskema ta' għajnuna li tispeċifika l-ħtiġijiet u l-problemi li l-iskema biħsiebha tindirizza u l-kategoriji ta' benefiċjarji destinatarji tal-iskema, pereżempju daqs, setturi, post, għadd indikattiv:</w:t>
      </w:r>
    </w:p>
    <w:p w14:paraId="0569D162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47923F5E" w14:textId="77777777" w:rsidR="00841E1F" w:rsidRPr="00F15324" w:rsidRDefault="00C631A9" w:rsidP="00841E1F">
      <w:pPr>
        <w:pStyle w:val="ListNumber"/>
        <w:numPr>
          <w:ilvl w:val="1"/>
          <w:numId w:val="2"/>
        </w:numPr>
        <w:spacing w:before="120" w:after="120"/>
        <w:ind w:left="788" w:hanging="431"/>
      </w:pPr>
      <w:r>
        <w:t xml:space="preserve"> Indika l-objettivi tal-iskema u l-impatt mistenni, kemm fil-livell tal-benefiċjarji intenzjonati kif ukoll f'dak li jirrigwarda l-objettiv tal-interess komuni</w:t>
      </w:r>
      <w:bookmarkEnd w:id="2"/>
      <w:r>
        <w:t>:</w:t>
      </w:r>
    </w:p>
    <w:p w14:paraId="5095DDC7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2069F2F6" w14:textId="77777777" w:rsidR="00841E1F" w:rsidRPr="00F15324" w:rsidRDefault="00C631A9" w:rsidP="00841E1F">
      <w:pPr>
        <w:pStyle w:val="ListNumber"/>
        <w:numPr>
          <w:ilvl w:val="1"/>
          <w:numId w:val="2"/>
        </w:numPr>
        <w:spacing w:before="120" w:after="120"/>
        <w:ind w:left="788" w:hanging="431"/>
      </w:pPr>
      <w:r>
        <w:t xml:space="preserve"> Indika l-effetti negattivi li possibilment jista' jkun hemm, fuq il-benefiċjarji tal-għajnuna jew fuq l-ekonomija ġenerali, li jistgħu jkunu assoċjati b'mod dirett jew indirett mal-iskema ta’ għajnuna</w:t>
      </w:r>
      <w:r>
        <w:rPr>
          <w:rStyle w:val="FootnoteReference"/>
        </w:rPr>
        <w:footnoteReference w:id="6"/>
      </w:r>
      <w:r>
        <w:t>:</w:t>
      </w:r>
    </w:p>
    <w:p w14:paraId="1B9A8EC7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13641FBE" w14:textId="77777777" w:rsidR="00841E1F" w:rsidRPr="00F15324" w:rsidRDefault="00C631A9" w:rsidP="00841E1F">
      <w:pPr>
        <w:pStyle w:val="ListNumber"/>
        <w:numPr>
          <w:ilvl w:val="1"/>
          <w:numId w:val="2"/>
        </w:numPr>
        <w:spacing w:before="120" w:after="120"/>
        <w:ind w:left="788" w:hanging="431"/>
      </w:pPr>
      <w:r>
        <w:t xml:space="preserve"> Indika (a) l-baġit annwali ppjanat skont l-iskema, (b) it-tul ta' żmien maħsub tal-iskema</w:t>
      </w:r>
      <w:r>
        <w:rPr>
          <w:rStyle w:val="FootnoteReference"/>
        </w:rPr>
        <w:footnoteReference w:id="7"/>
      </w:r>
      <w:r>
        <w:t>, (c) l-istrument jew l-istrumenti ta' għajnuna u (d) l-ispejjeż eliġibbli:</w:t>
      </w:r>
    </w:p>
    <w:p w14:paraId="03227F63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5D7DB7C1" w14:textId="77777777" w:rsidR="00841E1F" w:rsidRPr="00F15324" w:rsidRDefault="00C631A9" w:rsidP="00841E1F">
      <w:pPr>
        <w:pStyle w:val="ListNumber"/>
        <w:numPr>
          <w:ilvl w:val="1"/>
          <w:numId w:val="2"/>
        </w:numPr>
        <w:spacing w:before="120" w:after="120"/>
        <w:ind w:left="788" w:hanging="431"/>
      </w:pPr>
      <w:r>
        <w:t xml:space="preserve"> Ipprovdi sommarju tal-kriterji tal-eliġibbiltà u l-metodi għall-għażla tal-benefiċjarji tal-għajnuna. B'mod partikolari, iddeskrivi dan li ġej: (a) il-metodi tal-għażla tal-benefiċjarji (pereżempju l-mod kif jiġi allokat il-punteġġ), (b) il-baġit indikattiv disponibbli għal kull grupp ta' benefiċjarji, (c) il-probabbiltà li l-baġit jintuża kollu għal ċerti gruppi ta' benefiċjarji, (d) ir-regoli dwar il-punteġġ, jekk jintuża fl-iskema, (e) il-limiti tal-intensità tal-għajnuna u (f) il-kriterji li l-awtorità li tagħti l-għajnuna se tqis meta tivvaluta l-applikazzjonijiet:</w:t>
      </w:r>
    </w:p>
    <w:p w14:paraId="3AFF4933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lastRenderedPageBreak/>
        <w:tab/>
      </w:r>
    </w:p>
    <w:p w14:paraId="6EA7EB16" w14:textId="77777777" w:rsidR="00841E1F" w:rsidRPr="00F15324" w:rsidRDefault="00C631A9" w:rsidP="00841E1F">
      <w:pPr>
        <w:pStyle w:val="ListNumber"/>
        <w:numPr>
          <w:ilvl w:val="1"/>
          <w:numId w:val="2"/>
        </w:numPr>
        <w:spacing w:before="120" w:after="120"/>
        <w:ind w:left="788" w:hanging="431"/>
      </w:pPr>
      <w:r>
        <w:t xml:space="preserve"> Semmi r-restrizzjonijiet jew ir-riskji speċifiċi li jistgħu jaffettwaw l-implimentazzjoni tal-iskema, l-impatti mistennija tagħha u l-ilħuq tal-objettivi tagħha:</w:t>
      </w:r>
    </w:p>
    <w:p w14:paraId="3AF2A8B9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96396C" w14:paraId="4400FA7B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0A3F9342" w14:textId="77777777" w:rsidR="00841E1F" w:rsidRPr="0096396C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Mistoqsijiet tal-evalwazzjoni</w:t>
            </w:r>
          </w:p>
        </w:tc>
      </w:tr>
    </w:tbl>
    <w:p w14:paraId="749620AA" w14:textId="77777777" w:rsidR="00841E1F" w:rsidRPr="00F15324" w:rsidRDefault="00841E1F" w:rsidP="00841E1F">
      <w:pPr>
        <w:pStyle w:val="ListNumber"/>
        <w:numPr>
          <w:ilvl w:val="1"/>
          <w:numId w:val="3"/>
        </w:numPr>
        <w:tabs>
          <w:tab w:val="clear" w:pos="1767"/>
        </w:tabs>
        <w:spacing w:before="240" w:after="120"/>
        <w:ind w:left="850"/>
      </w:pPr>
      <w:r>
        <w:t>Indika l-mistoqsijiet speċifiċi li l-evalwazzjoni għandha tindirizza billi tipprovdi evidenza kwantitattiva tal-impatt tal-għajnuna. Iddistingwi bejn (a) mistoqsijiet dwar l-impatt dirett ta' din l-għajnuna fuq il-benefiċjarji, (b) mistoqsijiet relatati ma' impatti indiretti u (c) mistoqsijiet relatati mal-proporzjonalità u l-adegwatezza tal-għajnuna. Spjega kif il-mistoqsijiet tal-evalwazzjoni huma marbutin mal-objettivi tal-iskema:</w:t>
      </w:r>
    </w:p>
    <w:p w14:paraId="3E700DBF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96396C" w14:paraId="14B820D9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6BCC391E" w14:textId="77777777" w:rsidR="00841E1F" w:rsidRPr="0096396C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Indikaturi tar-riżultat</w:t>
            </w:r>
          </w:p>
        </w:tc>
      </w:tr>
    </w:tbl>
    <w:p w14:paraId="76D0DC80" w14:textId="77777777" w:rsidR="00841E1F" w:rsidRPr="00F15324" w:rsidRDefault="00841E1F" w:rsidP="00841E1F">
      <w:pPr>
        <w:pStyle w:val="ListNumber"/>
        <w:numPr>
          <w:ilvl w:val="1"/>
          <w:numId w:val="4"/>
        </w:numPr>
        <w:spacing w:before="240" w:after="120"/>
        <w:ind w:left="284" w:hanging="431"/>
      </w:pPr>
      <w:r>
        <w:t xml:space="preserve">Uża t-tabella li ġejja biex tiddeskrivi liema indikaturi se jinħolqu biex jitkejlu r-riżultati tal-iskema, kif ukoll il-fatturi ta' kontroll rilevanti, inklużi s-sorsi ta' </w:t>
      </w:r>
      <w:r>
        <w:rPr>
          <w:i/>
          <w:iCs/>
        </w:rPr>
        <w:t>data</w:t>
      </w:r>
      <w:r>
        <w:t>, u kif kull indikatur tar-riżultat jikkorrispondi għal mistoqsijiet dwar l-evalwazzjoni. B'mod partikolari, jekk jogħġbok semmi (a) il-mistoqsija rilevanti tal-evalwazzjoni, (b) l-indikatur, (c) is-sors tad-data, (d) il-frekwenza tal-ġbir tad-</w:t>
      </w:r>
      <w:r>
        <w:rPr>
          <w:i/>
          <w:iCs/>
        </w:rPr>
        <w:t>data</w:t>
      </w:r>
      <w:r>
        <w:t xml:space="preserve"> (pereżempju, annwali, kull xahar, eċċ.), (e) il-livell li fih tinġabar id-</w:t>
      </w:r>
      <w:r>
        <w:rPr>
          <w:i/>
          <w:iCs/>
        </w:rPr>
        <w:t>data</w:t>
      </w:r>
      <w:r>
        <w:t xml:space="preserve"> (pereżempju, il-livell tad-ditta, tal-stabbiliment, reġjonali, eċċ.), (f) il-popolazzjoni koperta fis-sors tad-</w:t>
      </w:r>
      <w:r>
        <w:rPr>
          <w:i/>
          <w:iCs/>
        </w:rPr>
        <w:t>data</w:t>
      </w:r>
      <w:r>
        <w:t xml:space="preserve"> (pereżempju, il-benefiċjarji tal-għajnuna, dawk li mhumiex benefiċjarji, l-intrapriżi kollha, eċċ.):</w:t>
      </w:r>
    </w:p>
    <w:tbl>
      <w:tblPr>
        <w:tblW w:w="9072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2410"/>
        <w:gridCol w:w="1133"/>
        <w:gridCol w:w="1276"/>
        <w:gridCol w:w="1276"/>
        <w:gridCol w:w="1417"/>
      </w:tblGrid>
      <w:tr w:rsidR="00841E1F" w:rsidRPr="00C93D0E" w14:paraId="568CA664" w14:textId="77777777" w:rsidTr="009F7938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A81921" w14:textId="77777777" w:rsidR="00841E1F" w:rsidRPr="00C93D0E" w:rsidRDefault="00841E1F" w:rsidP="00C43C00">
            <w:pPr>
              <w:spacing w:before="120" w:after="120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Mistoqsija tal-evalwazzjoni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8DFED" w14:textId="77777777" w:rsidR="00841E1F" w:rsidRPr="00C93D0E" w:rsidRDefault="00841E1F" w:rsidP="00C43C00">
            <w:pPr>
              <w:spacing w:before="120" w:after="120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Indikatur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3783E" w14:textId="77777777" w:rsidR="00841E1F" w:rsidRPr="00C93D0E" w:rsidRDefault="00841E1F" w:rsidP="00C43C00">
            <w:pPr>
              <w:spacing w:before="120" w:after="120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Sors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8A0A4" w14:textId="77777777" w:rsidR="00841E1F" w:rsidRPr="00C93D0E" w:rsidRDefault="00841E1F" w:rsidP="00C43C00">
            <w:pPr>
              <w:spacing w:before="120" w:after="120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Frekwenza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77D4F" w14:textId="77777777" w:rsidR="00841E1F" w:rsidRPr="00C93D0E" w:rsidRDefault="00841E1F" w:rsidP="00C43C00">
            <w:pPr>
              <w:spacing w:before="120" w:after="120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Livell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CF0F59" w14:textId="77777777" w:rsidR="00841E1F" w:rsidRPr="00C93D0E" w:rsidRDefault="00841E1F" w:rsidP="00C43C00">
            <w:pPr>
              <w:spacing w:before="120" w:after="120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Popolazzjoni</w:t>
            </w:r>
          </w:p>
        </w:tc>
      </w:tr>
      <w:tr w:rsidR="00841E1F" w:rsidRPr="00C93D0E" w14:paraId="192F6BDD" w14:textId="77777777" w:rsidTr="009F7938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D83B18" w14:textId="77777777" w:rsidR="00841E1F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FEFB8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C442F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0667D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891B9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B09AF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</w:tr>
      <w:tr w:rsidR="00841E1F" w:rsidRPr="00C93D0E" w14:paraId="68D6FCFC" w14:textId="77777777" w:rsidTr="009F7938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49B196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E9916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3D9C7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679A3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553F5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2AD80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</w:tr>
      <w:tr w:rsidR="00841E1F" w:rsidRPr="00C93D0E" w14:paraId="0F32C32C" w14:textId="77777777" w:rsidTr="009F7938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B4488F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056D7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0351F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2B6E3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EE706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1B2BC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</w:tr>
      <w:tr w:rsidR="00841E1F" w:rsidRPr="00C93D0E" w14:paraId="6380FFBE" w14:textId="77777777" w:rsidTr="009F7938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761F8A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4BF95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697C9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9DFFF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31BA5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852E5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</w:tr>
      <w:tr w:rsidR="00841E1F" w:rsidRPr="00C93D0E" w14:paraId="08E35712" w14:textId="77777777" w:rsidTr="009F7938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01315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8FE85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911C1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ADFFF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00D08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0CC1E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</w:tr>
    </w:tbl>
    <w:p w14:paraId="148FFB8C" w14:textId="77777777" w:rsidR="00841E1F" w:rsidRPr="00F15324" w:rsidRDefault="00841E1F" w:rsidP="00841E1F">
      <w:pPr>
        <w:pStyle w:val="ListNumber"/>
        <w:numPr>
          <w:ilvl w:val="0"/>
          <w:numId w:val="0"/>
        </w:numPr>
        <w:spacing w:before="240" w:after="120"/>
        <w:ind w:left="284"/>
      </w:pPr>
      <w:r>
        <w:t>Spjega għaliex l-indikaturi magħżulin huma l-iktar rilevanti sabiex jitkejjel l-impatt mistenni tal-iskema:</w:t>
      </w:r>
    </w:p>
    <w:p w14:paraId="72B1F190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96396C" w14:paraId="535181E0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2F8D1AFF" w14:textId="77777777" w:rsidR="00841E1F" w:rsidRPr="0096396C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lastRenderedPageBreak/>
              <w:t>Metodi previsti sabiex issir l-evalwazzjoni</w:t>
            </w:r>
          </w:p>
        </w:tc>
      </w:tr>
    </w:tbl>
    <w:p w14:paraId="78F05506" w14:textId="77777777" w:rsidR="00841E1F" w:rsidRPr="008C5D2F" w:rsidRDefault="00841E1F" w:rsidP="00841E1F">
      <w:pPr>
        <w:pStyle w:val="ListNumber"/>
        <w:numPr>
          <w:ilvl w:val="1"/>
          <w:numId w:val="5"/>
        </w:numPr>
        <w:spacing w:before="240" w:after="120"/>
        <w:ind w:left="425" w:hanging="431"/>
        <w:rPr>
          <w:bCs/>
        </w:rPr>
      </w:pPr>
      <w:r>
        <w:t>Fid-dawl tal-mistoqsijiet tal-evalwazzjoni, jekk jogħġbok iddeskrivi l-metodi previsti li għandhom jintużaw fl-evalwazzjoni sabiex jiġi identifikat l-impatt kawżali tal-għajnuna fuq il-benefiċjarji u biex jiġu vvalutati impatti indiretti oħra. B'mod partikolari, spjega r-raġunijiet għall-għażla ta' dawk il-metodi u għar-rifjut ta' metodi oħra (pereżempju, raġunijiet relatati mat-tfassil tal-iskema)</w:t>
      </w:r>
      <w:r>
        <w:rPr>
          <w:rStyle w:val="FootnoteReference"/>
        </w:rPr>
        <w:footnoteReference w:id="8"/>
      </w:r>
      <w:r>
        <w:t>:</w:t>
      </w:r>
    </w:p>
    <w:p w14:paraId="36FAC18A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4CDF966F" w14:textId="77777777" w:rsidR="00841E1F" w:rsidRPr="008C5D2F" w:rsidRDefault="00841E1F" w:rsidP="00841E1F">
      <w:pPr>
        <w:pStyle w:val="ListNumber"/>
        <w:numPr>
          <w:ilvl w:val="1"/>
          <w:numId w:val="5"/>
        </w:numPr>
        <w:ind w:left="426"/>
        <w:rPr>
          <w:bCs/>
        </w:rPr>
      </w:pPr>
      <w:bookmarkStart w:id="3" w:name="_Ref392756956"/>
      <w:r>
        <w:t>Iddeskrivi preċiżament l-istrateġija tal-identifikazzjoni għall-evalwazzjoni tal-impatt kawżali tal-għajnuna u s-suppożizzjonijiet li fuqhom tiddependi l-istrateġija.</w:t>
      </w:r>
      <w:bookmarkEnd w:id="3"/>
      <w:r>
        <w:t xml:space="preserve"> Iddeskrivi f'ċertu dettall il-kompożizzjoni u l-importanza tal-grupp ta' kontroll:</w:t>
      </w:r>
    </w:p>
    <w:p w14:paraId="389B0F38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2FA3AA97" w14:textId="77777777" w:rsidR="00841E1F" w:rsidRPr="008C5D2F" w:rsidRDefault="00841E1F" w:rsidP="00841E1F">
      <w:pPr>
        <w:pStyle w:val="ListNumber"/>
        <w:numPr>
          <w:ilvl w:val="1"/>
          <w:numId w:val="5"/>
        </w:numPr>
        <w:ind w:left="426"/>
        <w:rPr>
          <w:bCs/>
        </w:rPr>
      </w:pPr>
      <w:r>
        <w:t>Spjega kif il-metodi previsti jindirizzaw il-potenzjal li jkun hemm preġudizzji waqt l-għażla.</w:t>
      </w:r>
      <w:r>
        <w:rPr>
          <w:sz w:val="21"/>
        </w:rPr>
        <w:t xml:space="preserve"> </w:t>
      </w:r>
      <w:r>
        <w:t>Jista' jingħad b'biżżejjed ċertezza li d-differenzi fl-eżiti osservati fl-eżiti fir-rigward tal-benefiċjarji tal-għajnuna huma proprju minħabba l-għajnuna?</w:t>
      </w:r>
    </w:p>
    <w:p w14:paraId="34D43521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4C06F766" w14:textId="77777777" w:rsidR="00841E1F" w:rsidRPr="008C5D2F" w:rsidRDefault="00841E1F" w:rsidP="00841E1F">
      <w:pPr>
        <w:pStyle w:val="ListNumber"/>
        <w:numPr>
          <w:ilvl w:val="1"/>
          <w:numId w:val="5"/>
        </w:numPr>
        <w:ind w:left="426"/>
        <w:rPr>
          <w:bCs/>
        </w:rPr>
      </w:pPr>
      <w:r>
        <w:t>Jekk rilevanti, spjega kif il-metodi previsti biħsiebhom jindirizzaw sfidi speċifiċi marbutin ma' skemi kumplessi, pereżempju skemi li huma implimentati b'mod differenzjat f'livell reġjonali u skemi li jużaw bosta strumenti ta' għajnuna:</w:t>
      </w:r>
    </w:p>
    <w:p w14:paraId="424DD7AD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96396C" w14:paraId="27D081C0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3F57D699" w14:textId="77777777" w:rsidR="00841E1F" w:rsidRPr="0096396C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Ġbir tad-</w:t>
            </w:r>
            <w:r>
              <w:rPr>
                <w:color w:val="auto"/>
              </w:rPr>
              <w:t>data</w:t>
            </w:r>
            <w:r>
              <w:rPr>
                <w:i w:val="0"/>
                <w:color w:val="auto"/>
              </w:rPr>
              <w:t xml:space="preserve"> </w:t>
            </w:r>
          </w:p>
        </w:tc>
      </w:tr>
    </w:tbl>
    <w:p w14:paraId="050E783F" w14:textId="77777777" w:rsidR="00841E1F" w:rsidRDefault="00841E1F" w:rsidP="00841E1F">
      <w:pPr>
        <w:pStyle w:val="ListNumber"/>
        <w:keepNext/>
        <w:numPr>
          <w:ilvl w:val="1"/>
          <w:numId w:val="6"/>
        </w:numPr>
        <w:spacing w:before="240" w:after="120"/>
        <w:ind w:left="374" w:hanging="431"/>
      </w:pPr>
      <w:r>
        <w:t xml:space="preserve">Ipprovdi informazzjoni dwar il-mekkaniżmi u s-sorsi għall-ġbir u l-ipproċessar ta' </w:t>
      </w:r>
      <w:r>
        <w:rPr>
          <w:i/>
          <w:iCs/>
        </w:rPr>
        <w:t>data</w:t>
      </w:r>
      <w:r>
        <w:t xml:space="preserve"> dwar il-benefiċjarji tal-għajnuna u dwar il-kontrafattwali previsti</w:t>
      </w:r>
      <w:r>
        <w:rPr>
          <w:rStyle w:val="FootnoteReference"/>
        </w:rPr>
        <w:footnoteReference w:id="9"/>
      </w:r>
      <w:r>
        <w:t xml:space="preserve">. Ipprovdi deskrizzjoni tal-informazzjoni rilevanti kollha li hija marbuta mal-fażi tal-għażla: </w:t>
      </w:r>
      <w:r>
        <w:rPr>
          <w:i/>
          <w:iCs/>
        </w:rPr>
        <w:t>data</w:t>
      </w:r>
      <w:r>
        <w:t xml:space="preserve"> miġbura fuq applikanti għall-għajnuna, </w:t>
      </w:r>
      <w:r>
        <w:rPr>
          <w:i/>
          <w:iCs/>
        </w:rPr>
        <w:t>data</w:t>
      </w:r>
      <w:r>
        <w:t xml:space="preserve"> ppreżentata mill-applikanti, eżiti tal-għażla. Spjega wkoll kull kwistjoni li potenzjalment jista jkun hemm fir-rigward tad-disponibbiltà tad-</w:t>
      </w:r>
      <w:r>
        <w:rPr>
          <w:i/>
          <w:iCs/>
        </w:rPr>
        <w:t>data</w:t>
      </w:r>
      <w:r>
        <w:t>:</w:t>
      </w:r>
    </w:p>
    <w:p w14:paraId="1727C608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6BE4DCC6" w14:textId="77777777" w:rsidR="00841E1F" w:rsidRDefault="00841E1F" w:rsidP="00841E1F">
      <w:pPr>
        <w:pStyle w:val="ListNumber"/>
        <w:keepNext/>
        <w:numPr>
          <w:ilvl w:val="1"/>
          <w:numId w:val="6"/>
        </w:numPr>
        <w:spacing w:before="120" w:after="120"/>
        <w:ind w:left="374" w:hanging="431"/>
      </w:pPr>
      <w:r>
        <w:t>Ipprovdi informazzjoni dwar il-frekwenza tal-ġbir tad-</w:t>
      </w:r>
      <w:r>
        <w:rPr>
          <w:i/>
          <w:iCs/>
        </w:rPr>
        <w:t>data</w:t>
      </w:r>
      <w:r>
        <w:t xml:space="preserve"> rilevanti għall-evalwazzjoni. Hemm osservazzjonijiet disponibbli fuq livell disaggregat biżżejjed jiġifieri fil-livell tal-impriżi individwali?</w:t>
      </w:r>
    </w:p>
    <w:p w14:paraId="45F676CA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1B37FBBA" w14:textId="77777777" w:rsidR="00841E1F" w:rsidRDefault="00841E1F" w:rsidP="00841E1F">
      <w:pPr>
        <w:pStyle w:val="ListNumber"/>
        <w:keepNext/>
        <w:numPr>
          <w:ilvl w:val="1"/>
          <w:numId w:val="6"/>
        </w:numPr>
        <w:spacing w:before="120" w:after="120"/>
        <w:ind w:left="374" w:hanging="431"/>
      </w:pPr>
      <w:r>
        <w:lastRenderedPageBreak/>
        <w:t>Indika jekk l-aċċess għad-</w:t>
      </w:r>
      <w:r>
        <w:rPr>
          <w:i/>
          <w:iCs/>
        </w:rPr>
        <w:t>data</w:t>
      </w:r>
      <w:r>
        <w:t xml:space="preserve"> meħtieġa sabiex issir l-evalwazzjoni jistax ikun imxekkel minn liġijiet u regolamenti li jirregolaw il-kunfidenzjalità tad-</w:t>
      </w:r>
      <w:r>
        <w:rPr>
          <w:i/>
          <w:iCs/>
        </w:rPr>
        <w:t>data</w:t>
      </w:r>
      <w:r>
        <w:t xml:space="preserve"> u kif jistgħu jiġu indirizzati dawk il-kwistjonijiet. Semmi sfidi oħrajn possibbli marbutin mal-ġbir tad-</w:t>
      </w:r>
      <w:r>
        <w:rPr>
          <w:i/>
          <w:iCs/>
        </w:rPr>
        <w:t>data</w:t>
      </w:r>
      <w:r>
        <w:t xml:space="preserve"> u kif jistgħu jingħelbu:</w:t>
      </w:r>
    </w:p>
    <w:p w14:paraId="4DC0C7F7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77C42DD0" w14:textId="77777777" w:rsidR="00841E1F" w:rsidRDefault="00841E1F" w:rsidP="00841E1F">
      <w:pPr>
        <w:pStyle w:val="ListNumber"/>
        <w:keepNext/>
        <w:numPr>
          <w:ilvl w:val="1"/>
          <w:numId w:val="6"/>
        </w:numPr>
        <w:spacing w:before="120" w:after="120"/>
        <w:ind w:left="374" w:hanging="431"/>
      </w:pPr>
      <w:r>
        <w:t>Indika jekk huwiex previst li jsir stħarriġ dwar il-benefiċjarji tal-għajnuna jew ta' impriżi oħrajn u jekk hemmx il-ħsieb li jintużaw sorsi komplimentari ta' informazzjoni:</w:t>
      </w:r>
    </w:p>
    <w:p w14:paraId="3C1E71A9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96396C" w14:paraId="1BE804A6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76FB25DA" w14:textId="77777777" w:rsidR="00841E1F" w:rsidRPr="00EB4B15" w:rsidRDefault="00841E1F" w:rsidP="00841E1F">
            <w:pPr>
              <w:pStyle w:val="Heading4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Perjodu ta' żmien propost għall-evalwazzjoni</w:t>
            </w:r>
          </w:p>
        </w:tc>
      </w:tr>
    </w:tbl>
    <w:p w14:paraId="2F070FE0" w14:textId="77777777" w:rsidR="00841E1F" w:rsidRDefault="00841E1F" w:rsidP="00841E1F">
      <w:pPr>
        <w:pStyle w:val="ListNumber"/>
        <w:numPr>
          <w:ilvl w:val="1"/>
          <w:numId w:val="7"/>
        </w:numPr>
        <w:spacing w:before="240" w:after="120"/>
        <w:ind w:left="425" w:hanging="431"/>
      </w:pPr>
      <w:r>
        <w:t>Indika l-perjodu ta' żmien propost għall-evalwazzjoni, inklużi dati importanti għall-ġbir tad-</w:t>
      </w:r>
      <w:r>
        <w:rPr>
          <w:i/>
          <w:iCs/>
        </w:rPr>
        <w:t>data</w:t>
      </w:r>
      <w:r>
        <w:t>, ir-rapporti interim u l-involviment tal-partijiet interessati. Jekk rilevanti, ipprovdi anness li jispjega fid-dettall il-perjodu ta' żmien propost:</w:t>
      </w:r>
    </w:p>
    <w:p w14:paraId="3CF8C75D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2F04FD19" w14:textId="77777777" w:rsidR="00841E1F" w:rsidRDefault="00841E1F" w:rsidP="00841E1F">
      <w:pPr>
        <w:pStyle w:val="ListNumber"/>
        <w:numPr>
          <w:ilvl w:val="1"/>
          <w:numId w:val="7"/>
        </w:numPr>
        <w:spacing w:before="120" w:after="120"/>
        <w:ind w:left="425" w:hanging="431"/>
      </w:pPr>
      <w:r>
        <w:t>Indika d-data sa meta se jintbagħat ir-rapport tal-evalwazzjoni finali lill-Kummissjoni:</w:t>
      </w:r>
    </w:p>
    <w:p w14:paraId="6D6E7867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420DFCD5" w14:textId="77777777" w:rsidR="00841E1F" w:rsidRDefault="00841E1F" w:rsidP="00841E1F">
      <w:pPr>
        <w:pStyle w:val="ListNumber"/>
        <w:numPr>
          <w:ilvl w:val="1"/>
          <w:numId w:val="7"/>
        </w:numPr>
        <w:spacing w:before="120" w:after="120"/>
        <w:ind w:left="425" w:hanging="431"/>
      </w:pPr>
      <w:r>
        <w:t>Semmi l-fatturi li jistgħu jaffettwaw il-perjodu ta' żmien previst:</w:t>
      </w:r>
    </w:p>
    <w:p w14:paraId="2DA94322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96396C" w14:paraId="65CDE665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51813B54" w14:textId="77777777" w:rsidR="00841E1F" w:rsidRPr="00EB4B15" w:rsidRDefault="009F7938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K</w:t>
            </w:r>
            <w:r w:rsidR="00841E1F">
              <w:rPr>
                <w:i w:val="0"/>
                <w:color w:val="auto"/>
              </w:rPr>
              <w:t>orp li jagħmel l-evalwazzjoni</w:t>
            </w:r>
          </w:p>
        </w:tc>
      </w:tr>
    </w:tbl>
    <w:p w14:paraId="270CAB93" w14:textId="77777777" w:rsidR="00841E1F" w:rsidRDefault="00841E1F" w:rsidP="00841E1F">
      <w:pPr>
        <w:pStyle w:val="ListNumber"/>
        <w:numPr>
          <w:ilvl w:val="1"/>
          <w:numId w:val="8"/>
        </w:numPr>
        <w:spacing w:before="240" w:after="120"/>
        <w:ind w:left="425" w:hanging="431"/>
      </w:pPr>
      <w:r>
        <w:t>Ipprovdi informazzjoni speċifika dwar il-korp li jagħmel l-evalwazzjoni jew, jekk ma jkunx għadu ntgħażel, dwar il-perjodu ta' żmien, il-proċedura u l-kriterji għall-għażla tiegħu:</w:t>
      </w:r>
    </w:p>
    <w:p w14:paraId="2C1EFC0C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3BB82370" w14:textId="77777777" w:rsidR="00841E1F" w:rsidRDefault="00841E1F" w:rsidP="00841E1F">
      <w:pPr>
        <w:pStyle w:val="ListNumber"/>
        <w:numPr>
          <w:ilvl w:val="1"/>
          <w:numId w:val="8"/>
        </w:numPr>
        <w:spacing w:before="120" w:after="120"/>
        <w:ind w:left="425" w:hanging="431"/>
      </w:pPr>
      <w:r>
        <w:t>Ipprovdi informazzjoni dwar l-indipendenza tal-korp li jagħmel l-evalwazzjoni u dwar kif se jiġu esklużi l-possibilitajiet ta' kunflitti ta' interess fil-proċess tal-għażla:</w:t>
      </w:r>
    </w:p>
    <w:p w14:paraId="223459AE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4D612175" w14:textId="77777777" w:rsidR="00841E1F" w:rsidRDefault="00841E1F" w:rsidP="00841E1F">
      <w:pPr>
        <w:pStyle w:val="ListNumber"/>
        <w:numPr>
          <w:ilvl w:val="1"/>
          <w:numId w:val="8"/>
        </w:numPr>
        <w:spacing w:before="120" w:after="120"/>
        <w:ind w:left="425" w:hanging="431"/>
      </w:pPr>
      <w:r>
        <w:t>Indika l-esperjenza u l-ħiliet rilevanti tal-korp li jagħmel l-evalwazzjoni jew kif dawk l-esperjenzi u l-ħiliet se jiġu żgurati fil-proċess tal-għażla:</w:t>
      </w:r>
    </w:p>
    <w:p w14:paraId="224D56A7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0C0213A5" w14:textId="77777777" w:rsidR="00841E1F" w:rsidRDefault="00841E1F" w:rsidP="00841E1F">
      <w:pPr>
        <w:pStyle w:val="ListNumber"/>
        <w:numPr>
          <w:ilvl w:val="1"/>
          <w:numId w:val="8"/>
        </w:numPr>
        <w:spacing w:before="120" w:after="120"/>
        <w:ind w:left="425" w:hanging="431"/>
      </w:pPr>
      <w:r>
        <w:t>Indika x'arranġamenti se tagħmel l-awtorità li tagħti l-għajnuna biex timmaniġġa u timmonitorja t-twettiq tal-evalwazzjoni:</w:t>
      </w:r>
    </w:p>
    <w:p w14:paraId="46B865A7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2B2080CD" w14:textId="77777777" w:rsidR="00841E1F" w:rsidRDefault="00841E1F" w:rsidP="00841E1F">
      <w:pPr>
        <w:pStyle w:val="ListNumber"/>
        <w:numPr>
          <w:ilvl w:val="1"/>
          <w:numId w:val="8"/>
        </w:numPr>
        <w:spacing w:before="120" w:after="120"/>
        <w:ind w:left="425" w:hanging="431"/>
      </w:pPr>
      <w:r>
        <w:t>Ipprovdi informazzjoni, anki jekk ta' għamla indikattiva biss, fuq ir-riżorsi umani u finanzjarji meħtieġa li se jkunu disponsibbli għat-twettiq tal-evalwazzjoni:</w:t>
      </w:r>
    </w:p>
    <w:p w14:paraId="18F9F6BE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57"/>
        <w:rPr>
          <w:bCs/>
        </w:rPr>
      </w:pPr>
      <w:r>
        <w:lastRenderedPageBreak/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96396C" w14:paraId="4629C5EC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487B8853" w14:textId="77777777" w:rsidR="00841E1F" w:rsidRPr="0096396C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Disponibbiltà tal-evalwazzjoni għall-pubbliku</w:t>
            </w:r>
          </w:p>
        </w:tc>
      </w:tr>
    </w:tbl>
    <w:p w14:paraId="4B9ACC8B" w14:textId="77777777" w:rsidR="00841E1F" w:rsidRDefault="00841E1F" w:rsidP="00841E1F">
      <w:pPr>
        <w:pStyle w:val="ListNumber"/>
        <w:keepNext/>
        <w:numPr>
          <w:ilvl w:val="1"/>
          <w:numId w:val="9"/>
        </w:numPr>
        <w:spacing w:before="240" w:after="120"/>
        <w:ind w:left="425" w:hanging="431"/>
      </w:pPr>
      <w:r>
        <w:t>Ipprovdi informazzjoni dwar il-mod li permezz tiegħu l-evalwazzjoni se ssir disponibbli għall-pubbliku, jiġifieri bil-pubblikazzjoni tal-pjan ta' evalwazzjoni u r-rapport tal-evalwazzjoni finali fuq paġna tal-Internet:</w:t>
      </w:r>
    </w:p>
    <w:p w14:paraId="0CA5DA39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51B17B7F" w14:textId="77777777" w:rsidR="00841E1F" w:rsidRDefault="00841E1F" w:rsidP="00841E1F">
      <w:pPr>
        <w:pStyle w:val="ListNumber"/>
        <w:numPr>
          <w:ilvl w:val="1"/>
          <w:numId w:val="9"/>
        </w:numPr>
        <w:spacing w:before="120" w:after="120"/>
        <w:ind w:left="425" w:hanging="431"/>
      </w:pPr>
      <w:r>
        <w:t>Indika kif se jiġi żgurat li jkunu involuti l-partijiet interessati. Indika jekk hijiex prevista l-organizzazzjoni ta' konsultazzjonijiet pubbliċi jew avvenimenti marbutin mal-evalwazzjoni:</w:t>
      </w:r>
    </w:p>
    <w:p w14:paraId="20DB9938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2391CA45" w14:textId="77777777" w:rsidR="00841E1F" w:rsidRDefault="00841E1F" w:rsidP="00841E1F">
      <w:pPr>
        <w:pStyle w:val="ListNumber"/>
        <w:numPr>
          <w:ilvl w:val="1"/>
          <w:numId w:val="9"/>
        </w:numPr>
        <w:spacing w:before="120" w:after="120"/>
        <w:ind w:left="425" w:hanging="431"/>
      </w:pPr>
      <w:r>
        <w:t>Speċifika kif inhu maħsub li l-awtorità li tagħti l-għajnuna jew korpi oħrajn biħsiebhom jużaw ir-riżultati tal-evalwazzjoni, pereżempju għat-tfassil tas-suċċessuri tal-iskema jew għal skemi simili:</w:t>
      </w:r>
    </w:p>
    <w:p w14:paraId="2B097323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2492D6CA" w14:textId="77777777" w:rsidR="00841E1F" w:rsidRDefault="00841E1F" w:rsidP="00841E1F">
      <w:pPr>
        <w:pStyle w:val="ListNumber"/>
        <w:numPr>
          <w:ilvl w:val="1"/>
          <w:numId w:val="9"/>
        </w:numPr>
        <w:spacing w:before="120" w:after="120"/>
        <w:ind w:left="425" w:hanging="431"/>
      </w:pPr>
      <w:r>
        <w:t>Indika jekk u skont liema kundizzjonijiet id-</w:t>
      </w:r>
      <w:r>
        <w:rPr>
          <w:i/>
          <w:iCs/>
        </w:rPr>
        <w:t>data</w:t>
      </w:r>
      <w:r>
        <w:t xml:space="preserve"> miġuba bi skop tal-evalwazzjoni jew użata għaliha se tkun aċċessibbli għal aktar studji u analiżi:</w:t>
      </w:r>
    </w:p>
    <w:p w14:paraId="3046CB64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26F58429" w14:textId="77777777" w:rsidR="00841E1F" w:rsidRDefault="00841E1F" w:rsidP="00841E1F">
      <w:pPr>
        <w:pStyle w:val="ListNumber"/>
        <w:numPr>
          <w:ilvl w:val="1"/>
          <w:numId w:val="9"/>
        </w:numPr>
        <w:spacing w:before="120" w:after="120"/>
        <w:ind w:left="425" w:hanging="431"/>
      </w:pPr>
      <w:r>
        <w:t>Indika jekk il-pjan ta' evalwazzjoni fihx informazzjoni kunfidenzjali li l-Kummissjoni ma għandhiex tiżvela:</w:t>
      </w:r>
    </w:p>
    <w:p w14:paraId="33DBE1A7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96396C" w14:paraId="7F489F69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156C8575" w14:textId="77777777" w:rsidR="00841E1F" w:rsidRPr="0096396C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Informazzjoni oħra</w:t>
            </w:r>
          </w:p>
        </w:tc>
      </w:tr>
    </w:tbl>
    <w:p w14:paraId="20186B0B" w14:textId="77777777" w:rsidR="00841E1F" w:rsidRDefault="00841E1F" w:rsidP="00841E1F">
      <w:pPr>
        <w:pStyle w:val="ListNumber"/>
        <w:numPr>
          <w:ilvl w:val="1"/>
          <w:numId w:val="10"/>
        </w:numPr>
        <w:spacing w:before="240" w:after="120"/>
        <w:ind w:left="425" w:hanging="431"/>
      </w:pPr>
      <w:r>
        <w:t>Indika hawn kull informazzjoni oħra li tqis rilevanti għall-valutazzjoni tal-pjan ta' evalwazzjoni:</w:t>
      </w:r>
    </w:p>
    <w:p w14:paraId="63CF4E0D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22F22663" w14:textId="77777777" w:rsidR="00841E1F" w:rsidRDefault="00841E1F" w:rsidP="00841E1F">
      <w:pPr>
        <w:pStyle w:val="ListNumber"/>
        <w:numPr>
          <w:ilvl w:val="1"/>
          <w:numId w:val="10"/>
        </w:numPr>
        <w:spacing w:before="120" w:after="120"/>
        <w:ind w:left="425" w:hanging="431"/>
      </w:pPr>
      <w:r>
        <w:t>Elenka d-dokumenti kollha mehmużin man-notifika u pprovdi kopji fuq karti jew links diretti tal-Internet għad-dokumenti kkonċernati:</w:t>
      </w:r>
    </w:p>
    <w:p w14:paraId="3EB75964" w14:textId="77777777" w:rsidR="00841E1F" w:rsidRPr="00F15324" w:rsidRDefault="00C631A9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1AED185D" w14:textId="77777777" w:rsidR="00C43C00" w:rsidRPr="00841E1F" w:rsidRDefault="00C43C00">
      <w:pPr>
        <w:rPr>
          <w:rFonts w:eastAsia="Times New Roman" w:cs="Arial Unicode MS"/>
          <w:szCs w:val="24"/>
          <w:lang w:eastAsia="en-GB" w:bidi="si-LK"/>
        </w:rPr>
      </w:pPr>
    </w:p>
    <w:sectPr w:rsidR="00C43C00" w:rsidRPr="00841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6DDB9" w14:textId="77777777" w:rsidR="002A417D" w:rsidRDefault="002A417D" w:rsidP="00841E1F">
      <w:r>
        <w:separator/>
      </w:r>
    </w:p>
  </w:endnote>
  <w:endnote w:type="continuationSeparator" w:id="0">
    <w:p w14:paraId="0E4ED4A4" w14:textId="77777777" w:rsidR="002A417D" w:rsidRDefault="002A417D" w:rsidP="00841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7088D" w14:textId="77777777" w:rsidR="002A417D" w:rsidRDefault="002A417D" w:rsidP="00841E1F">
      <w:r>
        <w:separator/>
      </w:r>
    </w:p>
  </w:footnote>
  <w:footnote w:type="continuationSeparator" w:id="0">
    <w:p w14:paraId="3C99C62C" w14:textId="77777777" w:rsidR="002A417D" w:rsidRDefault="002A417D" w:rsidP="00841E1F">
      <w:r>
        <w:continuationSeparator/>
      </w:r>
    </w:p>
  </w:footnote>
  <w:footnote w:id="1">
    <w:p w14:paraId="418FCC3D" w14:textId="77777777" w:rsidR="00841E1F" w:rsidRDefault="00841E1F" w:rsidP="00841E1F">
      <w:pPr>
        <w:pStyle w:val="FootnoteText"/>
      </w:pPr>
      <w:r>
        <w:rPr>
          <w:rStyle w:val="FootnoteReference"/>
        </w:rPr>
        <w:footnoteRef/>
      </w:r>
      <w:r>
        <w:tab/>
        <w:t xml:space="preserve">Ir-Regolament tal-Kummissjoni (UE) Nru 651/2014 tas-17 ta' Ġunju 2014 li jiddikjara li ċerti kategoriji ta' għajnuna huma kompatibbli mas-suq </w:t>
      </w:r>
      <w:r>
        <w:rPr>
          <w:rStyle w:val="FootnoteReference"/>
        </w:rPr>
        <w:t>i</w:t>
      </w:r>
      <w:r>
        <w:t>ntern bl-applikazzjoni tal-Artikoli 107 u 108 tat-Trattat (ĠU L 187, 26.6.2014, p. 1).</w:t>
      </w:r>
    </w:p>
  </w:footnote>
  <w:footnote w:id="2">
    <w:p w14:paraId="449B194A" w14:textId="77777777" w:rsidR="00753E7F" w:rsidRPr="00753E7F" w:rsidRDefault="00753E7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Ir-Regolament tal-Kummissjoni (UE) 2022/2472 tal-14 ta’ Diċembru 2022 li jiddikjara ċerti kategoriji ta’ għajnuna fis-setturi tal-agrikoltura u tal-forestrija u f’żoni rurali kompatibbli mas-suq intern bl-applikazzjoni tal-Artikoli 107 u 108 tat-Trattat dwar il-Funzjonament tal-Unjoni Ewropea (ĠU L 327, 21.12.2022, p. 1).</w:t>
      </w:r>
    </w:p>
  </w:footnote>
  <w:footnote w:id="3">
    <w:p w14:paraId="0D25F4DE" w14:textId="77777777" w:rsidR="00753E7F" w:rsidRPr="00753E7F" w:rsidRDefault="00753E7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Ir-Regolament tal-Kummissjoni (UE) 2022/2473 tal-14 ta’ Diċembru 2022 li jiddikjara li ċerti kategoriji tal-għajnuna lil impriżi li huma attivi fil-produzzjoni, l-ipproċessar u l-kummerċjalizzazzjoni tal-prodotti tas-sajd u tal-akkwakultura huma kompatibbli mas-suq intern b’applikazzjoni tal-Artikoli 107 u 108 tat-Trattat dwar il-Funzjonament tal-Unjoni Ewropea (ĠU L 327, 21.12.2022, p. 82).</w:t>
      </w:r>
    </w:p>
  </w:footnote>
  <w:footnote w:id="4">
    <w:p w14:paraId="042F98FB" w14:textId="77777777" w:rsidR="00841E1F" w:rsidRPr="00F93FF6" w:rsidRDefault="00841E1F" w:rsidP="00841E1F">
      <w:pPr>
        <w:pStyle w:val="FootnoteText"/>
      </w:pPr>
      <w:r>
        <w:rPr>
          <w:rStyle w:val="FootnoteReference"/>
        </w:rPr>
        <w:footnoteRef/>
      </w:r>
      <w:r>
        <w:tab/>
        <w:t>SWD(2014)179 final tat-28.5.2014.</w:t>
      </w:r>
    </w:p>
  </w:footnote>
  <w:footnote w:id="5">
    <w:p w14:paraId="310C8EBB" w14:textId="77777777" w:rsidR="00841E1F" w:rsidRPr="00D06133" w:rsidRDefault="00841E1F" w:rsidP="00841E1F">
      <w:pPr>
        <w:pStyle w:val="FootnoteText"/>
      </w:pPr>
      <w:r>
        <w:rPr>
          <w:rStyle w:val="FootnoteReference"/>
        </w:rPr>
        <w:footnoteRef/>
      </w:r>
      <w:r>
        <w:tab/>
        <w:t>Minbarra deskrizzjoni ġenerali tal-objettivi u r-regoli tal-eliġibbiltà tal-iskema, l-iskop ta' din it-taqsima huwa li tivvaluta kif jistgħu jintużaw ir-regoli tal-eliġibbiltà u tal-esklużjoni tal-iskema sabiex jiġi identifikat l-effett tal-għajnuna. F'ċerti każijiet, ir-regoli eżatti tal-eliġibbiltà jaf ma jkunux magħrufin minn qabel. F'dawn il-każijiet, għandhom jiġu pprovduti l-aħjar aspettattivi disponibbli.</w:t>
      </w:r>
    </w:p>
  </w:footnote>
  <w:footnote w:id="6">
    <w:p w14:paraId="49CC6297" w14:textId="77777777" w:rsidR="00841E1F" w:rsidRPr="00010604" w:rsidRDefault="00841E1F" w:rsidP="00841E1F">
      <w:pPr>
        <w:pStyle w:val="FootnoteText"/>
      </w:pPr>
      <w:r>
        <w:rPr>
          <w:rStyle w:val="FootnoteReference"/>
        </w:rPr>
        <w:footnoteRef/>
      </w:r>
      <w:r>
        <w:tab/>
        <w:t>Xi eżempji ta' effetti negattivi huma l-preġudizzji reġjonali u settorjali jew l-eliminazzjoni ta' investimenti privati minħabba l-iskema ta' għajnuna.</w:t>
      </w:r>
    </w:p>
  </w:footnote>
  <w:footnote w:id="7">
    <w:p w14:paraId="40EF1FB6" w14:textId="77777777" w:rsidR="00841E1F" w:rsidRPr="004C41C2" w:rsidRDefault="00841E1F" w:rsidP="00841E1F">
      <w:pPr>
        <w:pStyle w:val="FootnoteText"/>
      </w:pPr>
      <w:r>
        <w:rPr>
          <w:rStyle w:val="FootnoteReference"/>
        </w:rPr>
        <w:footnoteRef/>
      </w:r>
      <w:r>
        <w:tab/>
        <w:t>Skemi ta' għajnuna definiti fl-Artikolu 1(2)(a) tar-Regolament (UE) Nru 651/2014 jiġu esklużi mill-kamp ta' applikazzjoni tar-Regolament sitt xhur wara li jidħlu fis-seħħ. Wara li tkun ivvalutat il-pjan ta' evalwazzjoni, il-Kummissjoni tista' tiddeċiedi li testendi l-applikazzjoni tar-Regolament għal dawn l-iskemi għal perjodu itwal. L-Istati Membri huma mistiedna jindikaw b'mod preċiż it-tul ta' żmien maħsub tal-iskema.</w:t>
      </w:r>
    </w:p>
  </w:footnote>
  <w:footnote w:id="8">
    <w:p w14:paraId="30A04F54" w14:textId="77777777" w:rsidR="00841E1F" w:rsidRPr="00F722E9" w:rsidRDefault="00841E1F" w:rsidP="00841E1F">
      <w:pPr>
        <w:pStyle w:val="FootnoteText"/>
      </w:pPr>
      <w:r>
        <w:rPr>
          <w:rStyle w:val="FootnoteReference"/>
        </w:rPr>
        <w:footnoteRef/>
      </w:r>
      <w:r>
        <w:tab/>
        <w:t>Agħmel referenza għal SWD(2014)179 final tat-28.5.2014.</w:t>
      </w:r>
    </w:p>
  </w:footnote>
  <w:footnote w:id="9">
    <w:p w14:paraId="11100490" w14:textId="77777777" w:rsidR="00841E1F" w:rsidRPr="002E5B0A" w:rsidRDefault="00841E1F" w:rsidP="00841E1F">
      <w:pPr>
        <w:pStyle w:val="FootnoteText"/>
      </w:pPr>
      <w:r>
        <w:rPr>
          <w:rStyle w:val="FootnoteReference"/>
        </w:rPr>
        <w:footnoteRef/>
      </w:r>
      <w:r>
        <w:tab/>
        <w:t xml:space="preserve">Kun af li l-evalwazzjoni tista' teħtieġ il-kisba kemm ta' </w:t>
      </w:r>
      <w:r>
        <w:rPr>
          <w:i/>
          <w:iCs/>
        </w:rPr>
        <w:t>data</w:t>
      </w:r>
      <w:r>
        <w:t xml:space="preserve"> storika kif ukoll ta' </w:t>
      </w:r>
      <w:r>
        <w:rPr>
          <w:i/>
          <w:iCs/>
        </w:rPr>
        <w:t>data</w:t>
      </w:r>
      <w:r>
        <w:t xml:space="preserve"> li se ssir disponibbli b'mod progressiv matul it-tħaddim tal-iskema ta' għajnuna. Identifika s-sorsi għaż-żewġ tipi ta' informazzjoni. Preferibilment għandek tiġbor iż-żewġ tipi ta' </w:t>
      </w:r>
      <w:r>
        <w:rPr>
          <w:i/>
          <w:iCs/>
        </w:rPr>
        <w:t>data</w:t>
      </w:r>
      <w:r>
        <w:t xml:space="preserve"> mill-istess sors sabiex tiġi ggarantita konsistenza maż-żmien.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1DDC"/>
    <w:multiLevelType w:val="multilevel"/>
    <w:tmpl w:val="D0C6EE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107925"/>
    <w:multiLevelType w:val="multilevel"/>
    <w:tmpl w:val="81AADE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3F4E53"/>
    <w:multiLevelType w:val="multilevel"/>
    <w:tmpl w:val="95F445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280C33"/>
    <w:multiLevelType w:val="multilevel"/>
    <w:tmpl w:val="C04A4E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E7E7E2E"/>
    <w:multiLevelType w:val="multilevel"/>
    <w:tmpl w:val="E56C2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6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18904D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22257FE"/>
    <w:multiLevelType w:val="multilevel"/>
    <w:tmpl w:val="0A746A88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767"/>
        </w:tabs>
        <w:ind w:left="1767" w:hanging="720"/>
      </w:pPr>
      <w:rPr>
        <w:rFonts w:hint="default"/>
        <w:b/>
      </w:rPr>
    </w:lvl>
    <w:lvl w:ilvl="2">
      <w:start w:val="1"/>
      <w:numFmt w:val="decimal"/>
      <w:lvlText w:val="3.%2.%3."/>
      <w:lvlJc w:val="left"/>
      <w:pPr>
        <w:tabs>
          <w:tab w:val="num" w:pos="2487"/>
        </w:tabs>
        <w:ind w:left="24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7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9354808"/>
    <w:multiLevelType w:val="multilevel"/>
    <w:tmpl w:val="B914C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662485D"/>
    <w:multiLevelType w:val="multilevel"/>
    <w:tmpl w:val="9E640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8F90356"/>
    <w:multiLevelType w:val="multilevel"/>
    <w:tmpl w:val="E9A86A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8F51D0"/>
    <w:multiLevelType w:val="hybridMultilevel"/>
    <w:tmpl w:val="EB8E2BEA"/>
    <w:lvl w:ilvl="0" w:tplc="835E4194">
      <w:start w:val="1"/>
      <w:numFmt w:val="lowerLetter"/>
      <w:lvlText w:val="(%1)"/>
      <w:lvlJc w:val="right"/>
      <w:pPr>
        <w:ind w:left="144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08987373">
    <w:abstractNumId w:val="5"/>
  </w:num>
  <w:num w:numId="2" w16cid:durableId="800076366">
    <w:abstractNumId w:val="2"/>
  </w:num>
  <w:num w:numId="3" w16cid:durableId="301229834">
    <w:abstractNumId w:val="6"/>
  </w:num>
  <w:num w:numId="4" w16cid:durableId="1069379381">
    <w:abstractNumId w:val="10"/>
  </w:num>
  <w:num w:numId="5" w16cid:durableId="93980286">
    <w:abstractNumId w:val="1"/>
  </w:num>
  <w:num w:numId="6" w16cid:durableId="1305818966">
    <w:abstractNumId w:val="4"/>
  </w:num>
  <w:num w:numId="7" w16cid:durableId="596984712">
    <w:abstractNumId w:val="8"/>
  </w:num>
  <w:num w:numId="8" w16cid:durableId="1909802977">
    <w:abstractNumId w:val="3"/>
  </w:num>
  <w:num w:numId="9" w16cid:durableId="1007176789">
    <w:abstractNumId w:val="9"/>
  </w:num>
  <w:num w:numId="10" w16cid:durableId="563688828">
    <w:abstractNumId w:val="0"/>
  </w:num>
  <w:num w:numId="11" w16cid:durableId="456997451">
    <w:abstractNumId w:val="11"/>
  </w:num>
  <w:num w:numId="12" w16cid:durableId="169294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46187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41E1F"/>
    <w:rsid w:val="001B6DD1"/>
    <w:rsid w:val="001C7129"/>
    <w:rsid w:val="002A417D"/>
    <w:rsid w:val="00301556"/>
    <w:rsid w:val="00372914"/>
    <w:rsid w:val="003820F0"/>
    <w:rsid w:val="00432738"/>
    <w:rsid w:val="00574327"/>
    <w:rsid w:val="006D250C"/>
    <w:rsid w:val="00753E7F"/>
    <w:rsid w:val="00807298"/>
    <w:rsid w:val="00841E1F"/>
    <w:rsid w:val="009F621A"/>
    <w:rsid w:val="009F7938"/>
    <w:rsid w:val="00AA251D"/>
    <w:rsid w:val="00C43C00"/>
    <w:rsid w:val="00C631A9"/>
    <w:rsid w:val="00CA35A6"/>
    <w:rsid w:val="00D55ACA"/>
    <w:rsid w:val="00D97B3D"/>
    <w:rsid w:val="00E2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10456"/>
  <w15:chartTrackingRefBased/>
  <w15:docId w15:val="{408840B3-5C96-4185-A24B-AC66036A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mt-MT" w:eastAsia="en-I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E1F"/>
    <w:rPr>
      <w:sz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E1F"/>
    <w:pPr>
      <w:keepNext/>
      <w:keepLines/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41E1F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841E1F"/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rsid w:val="00841E1F"/>
    <w:rPr>
      <w:rFonts w:ascii="Cambria" w:eastAsia="SimSun" w:hAnsi="Cambria"/>
      <w:b/>
      <w:bCs/>
      <w:i/>
      <w:iCs/>
      <w:color w:val="4F81BD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841E1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841E1F"/>
    <w:pPr>
      <w:ind w:left="720" w:hanging="720"/>
      <w:jc w:val="both"/>
    </w:pPr>
    <w:rPr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41E1F"/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rsid w:val="00841E1F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841E1F"/>
    <w:pPr>
      <w:spacing w:after="160" w:line="240" w:lineRule="exact"/>
    </w:pPr>
    <w:rPr>
      <w:sz w:val="20"/>
      <w:vertAlign w:val="superscript"/>
      <w:lang w:eastAsia="en-GB"/>
    </w:rPr>
  </w:style>
  <w:style w:type="paragraph" w:styleId="ListNumber">
    <w:name w:val="List Number"/>
    <w:basedOn w:val="Normal"/>
    <w:rsid w:val="00841E1F"/>
    <w:pPr>
      <w:numPr>
        <w:numId w:val="12"/>
      </w:numPr>
      <w:spacing w:after="240"/>
      <w:jc w:val="both"/>
    </w:pPr>
    <w:rPr>
      <w:rFonts w:eastAsia="Times New Roman"/>
    </w:rPr>
  </w:style>
  <w:style w:type="paragraph" w:customStyle="1" w:styleId="ListNumberLevel2">
    <w:name w:val="List Number (Level 2)"/>
    <w:basedOn w:val="Normal"/>
    <w:rsid w:val="00841E1F"/>
    <w:pPr>
      <w:numPr>
        <w:ilvl w:val="1"/>
        <w:numId w:val="12"/>
      </w:numPr>
      <w:spacing w:after="240"/>
      <w:jc w:val="both"/>
    </w:pPr>
    <w:rPr>
      <w:rFonts w:eastAsia="Times New Roman"/>
    </w:rPr>
  </w:style>
  <w:style w:type="paragraph" w:customStyle="1" w:styleId="ListNumberLevel3">
    <w:name w:val="List Number (Level 3)"/>
    <w:basedOn w:val="Normal"/>
    <w:rsid w:val="00841E1F"/>
    <w:pPr>
      <w:numPr>
        <w:ilvl w:val="2"/>
        <w:numId w:val="12"/>
      </w:numPr>
      <w:spacing w:after="240"/>
      <w:jc w:val="both"/>
    </w:pPr>
    <w:rPr>
      <w:rFonts w:eastAsia="Times New Roman"/>
    </w:rPr>
  </w:style>
  <w:style w:type="paragraph" w:customStyle="1" w:styleId="ListNumberLevel4">
    <w:name w:val="List Number (Level 4)"/>
    <w:basedOn w:val="Normal"/>
    <w:rsid w:val="00841E1F"/>
    <w:pPr>
      <w:numPr>
        <w:ilvl w:val="3"/>
        <w:numId w:val="12"/>
      </w:numPr>
      <w:spacing w:after="240"/>
      <w:jc w:val="both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1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631A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44B61-A603-49F0-84AF-C54D34B8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1197</Words>
  <Characters>8828</Characters>
  <DocSecurity>0</DocSecurity>
  <Lines>210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2015-12-04T14:02:00Z</cp:lastPrinted>
  <dcterms:created xsi:type="dcterms:W3CDTF">2023-10-18T09:23:00Z</dcterms:created>
  <dcterms:modified xsi:type="dcterms:W3CDTF">2025-02-07T17:08:00Z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2023-10-18T07:05:25Z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5cb92257-9cb9-405f-9722-70983f0cec56</vt:lpwstr>
  </property>
  <property fmtid="{D5CDD505-2E9C-101B-9397-08002B2CF9AE}" pid="8" name="MSIP_Label_6bd9ddd1-4d20-43f6-abfa-fc3c07406f94_ContentBits">
    <vt:lpwstr>0</vt:lpwstr>
  </property>
</Properties>
</file>