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692EF5" w:rsidRPr="003D6A87" w14:paraId="580838E9" w14:textId="77777777" w:rsidTr="00692EF5">
        <w:trPr>
          <w:trHeight w:val="1440"/>
        </w:trPr>
        <w:tc>
          <w:tcPr>
            <w:tcW w:w="2381" w:type="dxa"/>
            <w:tcBorders>
              <w:top w:val="nil"/>
              <w:left w:val="nil"/>
              <w:bottom w:val="nil"/>
              <w:right w:val="nil"/>
            </w:tcBorders>
          </w:tcPr>
          <w:p w14:paraId="580838E3" w14:textId="77777777" w:rsidR="00692EF5" w:rsidRPr="003D6A87" w:rsidRDefault="00F36E85" w:rsidP="00B83551">
            <w:pPr>
              <w:pStyle w:val="ZCom"/>
              <w:rPr>
                <w:rFonts w:ascii="Times New Roman" w:hAnsi="Times New Roman" w:cs="Times New Roman"/>
              </w:rPr>
            </w:pPr>
            <w:bookmarkStart w:id="0" w:name="_GoBack"/>
            <w:bookmarkEnd w:id="0"/>
            <w:r w:rsidRPr="003D6A87">
              <w:rPr>
                <w:rFonts w:ascii="Times New Roman" w:hAnsi="Times New Roman" w:cs="Times New Roman"/>
                <w:noProof/>
                <w:sz w:val="20"/>
                <w:szCs w:val="20"/>
              </w:rPr>
              <w:drawing>
                <wp:inline distT="0" distB="0" distL="0" distR="0" wp14:anchorId="58083969" wp14:editId="5808396A">
                  <wp:extent cx="1371600" cy="676275"/>
                  <wp:effectExtent l="0" t="0" r="0" b="9525"/>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bookmarkStart w:id="1" w:name="_Ref259060882"/>
            <w:bookmarkEnd w:id="1"/>
          </w:p>
        </w:tc>
        <w:tc>
          <w:tcPr>
            <w:tcW w:w="7087" w:type="dxa"/>
            <w:tcBorders>
              <w:top w:val="nil"/>
              <w:left w:val="nil"/>
              <w:bottom w:val="nil"/>
              <w:right w:val="nil"/>
            </w:tcBorders>
          </w:tcPr>
          <w:p w14:paraId="580838E4" w14:textId="77777777" w:rsidR="00692EF5" w:rsidRPr="003D6A87" w:rsidRDefault="00692EF5" w:rsidP="00B83551">
            <w:pPr>
              <w:pStyle w:val="ZCom"/>
              <w:spacing w:before="90"/>
              <w:rPr>
                <w:rFonts w:ascii="Times New Roman" w:hAnsi="Times New Roman" w:cs="Times New Roman"/>
              </w:rPr>
            </w:pPr>
            <w:r w:rsidRPr="003D6A87">
              <w:rPr>
                <w:rFonts w:ascii="Times New Roman" w:hAnsi="Times New Roman" w:cs="Times New Roman"/>
              </w:rPr>
              <w:t>EUROPEAN COMMISSION</w:t>
            </w:r>
          </w:p>
          <w:p w14:paraId="580838E5" w14:textId="77777777" w:rsidR="00692EF5" w:rsidRPr="003D6A87" w:rsidRDefault="00692EF5" w:rsidP="00B83551">
            <w:pPr>
              <w:pStyle w:val="ZDGName"/>
              <w:jc w:val="both"/>
              <w:rPr>
                <w:rFonts w:ascii="Times New Roman" w:hAnsi="Times New Roman" w:cs="Times New Roman"/>
              </w:rPr>
            </w:pPr>
          </w:p>
          <w:p w14:paraId="580838E6" w14:textId="77777777" w:rsidR="00692EF5" w:rsidRPr="003D6A87" w:rsidRDefault="00692EF5" w:rsidP="00B83551">
            <w:pPr>
              <w:pStyle w:val="ZDGName"/>
              <w:jc w:val="both"/>
              <w:rPr>
                <w:rFonts w:ascii="Times New Roman" w:hAnsi="Times New Roman" w:cs="Times New Roman"/>
              </w:rPr>
            </w:pPr>
          </w:p>
          <w:p w14:paraId="580838E7" w14:textId="77777777" w:rsidR="00692EF5" w:rsidRPr="003D6A87" w:rsidRDefault="00692EF5" w:rsidP="00B83551">
            <w:pPr>
              <w:pStyle w:val="ZDGName"/>
              <w:jc w:val="both"/>
              <w:rPr>
                <w:rFonts w:ascii="Times New Roman" w:hAnsi="Times New Roman" w:cs="Times New Roman"/>
              </w:rPr>
            </w:pPr>
          </w:p>
          <w:p w14:paraId="580838E8" w14:textId="77777777" w:rsidR="00692EF5" w:rsidRPr="003D6A87" w:rsidRDefault="00692EF5" w:rsidP="00B83551">
            <w:pPr>
              <w:pStyle w:val="ZDGName"/>
              <w:jc w:val="both"/>
              <w:rPr>
                <w:rFonts w:ascii="Times New Roman" w:hAnsi="Times New Roman" w:cs="Times New Roman"/>
              </w:rPr>
            </w:pPr>
            <w:r w:rsidRPr="003D6A87">
              <w:rPr>
                <w:rFonts w:ascii="Times New Roman" w:hAnsi="Times New Roman" w:cs="Times New Roman"/>
              </w:rPr>
              <w:t>Competition DG</w:t>
            </w:r>
          </w:p>
        </w:tc>
      </w:tr>
    </w:tbl>
    <w:p w14:paraId="4563AC89" w14:textId="3E03AE8D" w:rsidR="003D6A87" w:rsidRDefault="0082175D" w:rsidP="00B83551">
      <w:pPr>
        <w:keepNext/>
        <w:spacing w:before="360" w:after="0"/>
        <w:ind w:left="720" w:hanging="360"/>
        <w:outlineLvl w:val="0"/>
        <w:rPr>
          <w:b/>
          <w:kern w:val="32"/>
          <w:szCs w:val="24"/>
          <w:lang w:eastAsia="en-GB"/>
        </w:rPr>
      </w:pPr>
      <w:bookmarkStart w:id="2" w:name="_Toc330299679"/>
      <w:bookmarkStart w:id="3" w:name="_Toc330304683"/>
      <w:bookmarkStart w:id="4" w:name="_Toc263859413"/>
      <w:bookmarkStart w:id="5" w:name="_Toc329333559"/>
      <w:r>
        <w:rPr>
          <w:b/>
          <w:kern w:val="32"/>
          <w:szCs w:val="24"/>
          <w:lang w:eastAsia="en-GB"/>
        </w:rPr>
        <w:t>T</w:t>
      </w:r>
      <w:r w:rsidR="003D6A87" w:rsidRPr="003D6A87">
        <w:rPr>
          <w:b/>
          <w:kern w:val="32"/>
          <w:szCs w:val="24"/>
          <w:lang w:eastAsia="en-GB"/>
        </w:rPr>
        <w:t xml:space="preserve">he use of confidentiality rings in </w:t>
      </w:r>
      <w:r w:rsidR="00A02343">
        <w:rPr>
          <w:b/>
          <w:kern w:val="32"/>
          <w:szCs w:val="24"/>
          <w:lang w:eastAsia="en-GB"/>
        </w:rPr>
        <w:t xml:space="preserve">antitrust </w:t>
      </w:r>
      <w:r w:rsidR="003D6A87" w:rsidRPr="003D6A87">
        <w:rPr>
          <w:b/>
          <w:kern w:val="32"/>
          <w:szCs w:val="24"/>
          <w:lang w:eastAsia="en-GB"/>
        </w:rPr>
        <w:t>access to file proceedings</w:t>
      </w:r>
    </w:p>
    <w:p w14:paraId="1BDEE494" w14:textId="77777777" w:rsidR="003D6A87" w:rsidRPr="003D6A87" w:rsidRDefault="003D6A87" w:rsidP="00B83551">
      <w:pPr>
        <w:pStyle w:val="Heading1"/>
        <w:rPr>
          <w:lang w:eastAsia="en-GB"/>
        </w:rPr>
      </w:pPr>
      <w:r w:rsidRPr="003D6A87">
        <w:rPr>
          <w:lang w:eastAsia="en-GB"/>
        </w:rPr>
        <w:t>Introduction</w:t>
      </w:r>
    </w:p>
    <w:p w14:paraId="213B3AD9" w14:textId="161C42BA" w:rsidR="003D6A87" w:rsidRPr="00A02343" w:rsidRDefault="003D6A87" w:rsidP="00B83551">
      <w:pPr>
        <w:pStyle w:val="ListNumber"/>
        <w:numPr>
          <w:ilvl w:val="0"/>
          <w:numId w:val="22"/>
        </w:numPr>
        <w:rPr>
          <w:szCs w:val="24"/>
          <w:lang w:eastAsia="en-GB"/>
        </w:rPr>
      </w:pPr>
      <w:r w:rsidRPr="00A02343">
        <w:rPr>
          <w:szCs w:val="24"/>
          <w:lang w:eastAsia="en-GB"/>
        </w:rPr>
        <w:t xml:space="preserve">In several recent </w:t>
      </w:r>
      <w:r w:rsidR="00A02343">
        <w:rPr>
          <w:szCs w:val="24"/>
          <w:lang w:eastAsia="en-GB"/>
        </w:rPr>
        <w:t>proceeding</w:t>
      </w:r>
      <w:r w:rsidRPr="00A02343">
        <w:rPr>
          <w:szCs w:val="24"/>
          <w:lang w:eastAsia="en-GB"/>
        </w:rPr>
        <w:t>s, DG Competition has used confidentiality rings and data rooms as a means of providing access to file.</w:t>
      </w:r>
      <w:r w:rsidR="00A02343">
        <w:rPr>
          <w:rStyle w:val="FootnoteReference"/>
          <w:szCs w:val="24"/>
          <w:lang w:eastAsia="en-GB"/>
        </w:rPr>
        <w:footnoteReference w:id="2"/>
      </w:r>
      <w:r w:rsidR="00A02343">
        <w:rPr>
          <w:szCs w:val="24"/>
          <w:lang w:eastAsia="en-GB"/>
        </w:rPr>
        <w:t xml:space="preserve"> </w:t>
      </w:r>
      <w:r w:rsidRPr="00A02343">
        <w:rPr>
          <w:szCs w:val="24"/>
          <w:lang w:eastAsia="en-GB"/>
        </w:rPr>
        <w:t>Th</w:t>
      </w:r>
      <w:r w:rsidR="00B72A8F" w:rsidRPr="00A02343">
        <w:rPr>
          <w:szCs w:val="24"/>
          <w:lang w:eastAsia="en-GB"/>
        </w:rPr>
        <w:t>e</w:t>
      </w:r>
      <w:r w:rsidR="00710E1A" w:rsidRPr="00A02343">
        <w:rPr>
          <w:szCs w:val="24"/>
          <w:lang w:eastAsia="en-GB"/>
        </w:rPr>
        <w:t xml:space="preserve"> </w:t>
      </w:r>
      <w:r w:rsidRPr="00A02343">
        <w:rPr>
          <w:szCs w:val="24"/>
          <w:lang w:eastAsia="en-GB"/>
        </w:rPr>
        <w:t>guidance</w:t>
      </w:r>
      <w:r w:rsidR="00710E1A" w:rsidRPr="00A02343">
        <w:rPr>
          <w:szCs w:val="24"/>
          <w:lang w:eastAsia="en-GB"/>
        </w:rPr>
        <w:t xml:space="preserve"> on confidentiality rings set out in this document </w:t>
      </w:r>
      <w:r w:rsidRPr="00A02343">
        <w:rPr>
          <w:szCs w:val="24"/>
          <w:lang w:eastAsia="en-GB"/>
        </w:rPr>
        <w:t xml:space="preserve">is based on the experience that DG Competition has acquired to date and is intended to reflect its current practice. </w:t>
      </w:r>
      <w:r w:rsidR="00710E1A" w:rsidRPr="00A02343">
        <w:rPr>
          <w:szCs w:val="24"/>
          <w:lang w:eastAsia="en-GB"/>
        </w:rPr>
        <w:t>It includes a template for a n</w:t>
      </w:r>
      <w:r w:rsidR="00D731D1">
        <w:rPr>
          <w:szCs w:val="24"/>
          <w:lang w:eastAsia="en-GB"/>
        </w:rPr>
        <w:t xml:space="preserve">egotiated </w:t>
      </w:r>
      <w:r w:rsidR="00710E1A" w:rsidRPr="00A02343">
        <w:rPr>
          <w:szCs w:val="24"/>
          <w:lang w:eastAsia="en-GB"/>
        </w:rPr>
        <w:t>disclosure agreement for use in confidentiality ring procedures</w:t>
      </w:r>
      <w:r w:rsidR="00B441C7" w:rsidRPr="00A02343">
        <w:rPr>
          <w:szCs w:val="24"/>
          <w:lang w:eastAsia="en-GB"/>
        </w:rPr>
        <w:t>.</w:t>
      </w:r>
      <w:r w:rsidR="00710E1A" w:rsidRPr="00A02343">
        <w:rPr>
          <w:szCs w:val="24"/>
          <w:lang w:eastAsia="en-GB"/>
        </w:rPr>
        <w:t xml:space="preserve"> </w:t>
      </w:r>
      <w:r w:rsidRPr="00A02343">
        <w:rPr>
          <w:szCs w:val="24"/>
          <w:lang w:eastAsia="en-GB"/>
        </w:rPr>
        <w:t xml:space="preserve">The specific features of an individual case may require an adaptation of, or deviation from </w:t>
      </w:r>
      <w:r w:rsidR="00710E1A" w:rsidRPr="00A02343">
        <w:rPr>
          <w:szCs w:val="24"/>
          <w:lang w:eastAsia="en-GB"/>
        </w:rPr>
        <w:t xml:space="preserve">what is set out in this </w:t>
      </w:r>
      <w:r w:rsidRPr="00A02343">
        <w:rPr>
          <w:szCs w:val="24"/>
          <w:lang w:eastAsia="en-GB"/>
        </w:rPr>
        <w:t>document</w:t>
      </w:r>
      <w:r w:rsidR="00710E1A" w:rsidRPr="00A02343">
        <w:rPr>
          <w:szCs w:val="24"/>
          <w:lang w:eastAsia="en-GB"/>
        </w:rPr>
        <w:t xml:space="preserve"> and the template</w:t>
      </w:r>
      <w:r w:rsidRPr="00A02343">
        <w:rPr>
          <w:szCs w:val="24"/>
          <w:lang w:eastAsia="en-GB"/>
        </w:rPr>
        <w:t xml:space="preserve">. </w:t>
      </w:r>
    </w:p>
    <w:p w14:paraId="492B3EBB" w14:textId="1A3BC870" w:rsidR="003D6A87" w:rsidRPr="003D6A87" w:rsidRDefault="003D6A87">
      <w:pPr>
        <w:pStyle w:val="ListNumber"/>
        <w:numPr>
          <w:ilvl w:val="0"/>
          <w:numId w:val="22"/>
        </w:numPr>
        <w:rPr>
          <w:szCs w:val="24"/>
          <w:lang w:eastAsia="en-GB"/>
        </w:rPr>
      </w:pPr>
      <w:r w:rsidRPr="003D6A87">
        <w:rPr>
          <w:szCs w:val="24"/>
          <w:lang w:eastAsia="en-GB"/>
        </w:rPr>
        <w:t xml:space="preserve">This guidance does not create or alter any rights or obligations as set out in the Treaty or relevant secondary legislation as interpreted by the case law of the Union Courts, nor does it alter </w:t>
      </w:r>
      <w:r w:rsidR="00710E1A">
        <w:rPr>
          <w:szCs w:val="24"/>
          <w:lang w:eastAsia="en-GB"/>
        </w:rPr>
        <w:t xml:space="preserve">the Commission's </w:t>
      </w:r>
      <w:r w:rsidRPr="003D6A87">
        <w:rPr>
          <w:szCs w:val="24"/>
          <w:lang w:eastAsia="en-GB"/>
        </w:rPr>
        <w:t>interpretative notices. DG Competition may update this guidance document from time to time to reflect changes in legislation, case law and practice.</w:t>
      </w:r>
    </w:p>
    <w:p w14:paraId="1B127210" w14:textId="77777777" w:rsidR="003D6A87" w:rsidRPr="003D6A87" w:rsidRDefault="003D6A87">
      <w:pPr>
        <w:pStyle w:val="Heading1"/>
        <w:rPr>
          <w:b w:val="0"/>
          <w:kern w:val="32"/>
          <w:szCs w:val="24"/>
          <w:lang w:eastAsia="en-GB"/>
        </w:rPr>
      </w:pPr>
      <w:r w:rsidRPr="003D6A87">
        <w:rPr>
          <w:kern w:val="32"/>
          <w:szCs w:val="24"/>
          <w:lang w:eastAsia="en-GB"/>
        </w:rPr>
        <w:t>Access to file</w:t>
      </w:r>
    </w:p>
    <w:p w14:paraId="1E3F7968" w14:textId="6BA07DB9" w:rsidR="003D6A87" w:rsidRPr="003D6A87" w:rsidRDefault="003D6A87">
      <w:pPr>
        <w:pStyle w:val="ListNumber"/>
        <w:numPr>
          <w:ilvl w:val="0"/>
          <w:numId w:val="22"/>
        </w:numPr>
        <w:rPr>
          <w:szCs w:val="24"/>
          <w:lang w:eastAsia="en-GB"/>
        </w:rPr>
      </w:pPr>
      <w:r w:rsidRPr="003D6A87">
        <w:rPr>
          <w:szCs w:val="24"/>
          <w:lang w:eastAsia="en-GB"/>
        </w:rPr>
        <w:t>Access to the Commission´s file is one of the procedural guarantees intended to protect the rights of the defence.</w:t>
      </w:r>
      <w:r w:rsidRPr="003D6A87">
        <w:rPr>
          <w:szCs w:val="24"/>
          <w:vertAlign w:val="superscript"/>
          <w:lang w:eastAsia="en-GB"/>
        </w:rPr>
        <w:footnoteReference w:id="3"/>
      </w:r>
      <w:r w:rsidRPr="003D6A87">
        <w:rPr>
          <w:szCs w:val="24"/>
          <w:lang w:eastAsia="en-GB"/>
        </w:rPr>
        <w:t xml:space="preserve"> </w:t>
      </w:r>
    </w:p>
    <w:p w14:paraId="0C1607DD" w14:textId="07041779" w:rsidR="003D6A87" w:rsidRPr="003D6A87" w:rsidRDefault="00B24B85">
      <w:pPr>
        <w:pStyle w:val="ListNumber"/>
        <w:numPr>
          <w:ilvl w:val="0"/>
          <w:numId w:val="22"/>
        </w:numPr>
        <w:rPr>
          <w:szCs w:val="24"/>
          <w:lang w:eastAsia="en-GB"/>
        </w:rPr>
      </w:pPr>
      <w:r>
        <w:rPr>
          <w:szCs w:val="24"/>
          <w:lang w:eastAsia="en-GB"/>
        </w:rPr>
        <w:t>Therefore, b</w:t>
      </w:r>
      <w:r w:rsidR="003D6A87" w:rsidRPr="003D6A87">
        <w:rPr>
          <w:szCs w:val="24"/>
          <w:lang w:eastAsia="en-GB"/>
        </w:rPr>
        <w:t xml:space="preserve">efore taking decisions on the basis of Articles 7, 8, 23 and 24(2) of Council Regulation (EC) No 1/2003, DG Competition </w:t>
      </w:r>
      <w:r w:rsidR="0089009B">
        <w:rPr>
          <w:szCs w:val="24"/>
          <w:lang w:eastAsia="en-GB"/>
        </w:rPr>
        <w:t>will</w:t>
      </w:r>
      <w:r w:rsidR="003D6A87" w:rsidRPr="003D6A87">
        <w:rPr>
          <w:szCs w:val="24"/>
          <w:lang w:eastAsia="en-GB"/>
        </w:rPr>
        <w:t xml:space="preserve"> give addressees of its Statements of Objections (SO) an opportunity to have access to the Commission's file.</w:t>
      </w:r>
    </w:p>
    <w:p w14:paraId="4478F1EA" w14:textId="752565E7" w:rsidR="003D6A87" w:rsidRPr="003D6A87" w:rsidRDefault="003D6A87">
      <w:pPr>
        <w:pStyle w:val="ListNumber"/>
        <w:numPr>
          <w:ilvl w:val="0"/>
          <w:numId w:val="22"/>
        </w:numPr>
        <w:rPr>
          <w:szCs w:val="24"/>
          <w:lang w:eastAsia="en-GB"/>
        </w:rPr>
      </w:pPr>
      <w:r w:rsidRPr="003D6A87">
        <w:rPr>
          <w:szCs w:val="24"/>
          <w:lang w:eastAsia="en-GB"/>
        </w:rPr>
        <w:t>The Commission Notice on access to file explains the practicalities of access to file.</w:t>
      </w:r>
      <w:r w:rsidRPr="003D6A87">
        <w:rPr>
          <w:szCs w:val="24"/>
          <w:vertAlign w:val="superscript"/>
          <w:lang w:eastAsia="en-GB"/>
        </w:rPr>
        <w:footnoteReference w:id="4"/>
      </w:r>
      <w:r w:rsidRPr="003D6A87">
        <w:rPr>
          <w:szCs w:val="24"/>
          <w:lang w:eastAsia="en-GB"/>
        </w:rPr>
        <w:t xml:space="preserve"> According to this Notice, the </w:t>
      </w:r>
      <w:r w:rsidR="00092487">
        <w:rPr>
          <w:szCs w:val="24"/>
          <w:lang w:eastAsia="en-GB"/>
        </w:rPr>
        <w:t>SO addressees</w:t>
      </w:r>
      <w:r w:rsidR="00092487" w:rsidRPr="003D6A87">
        <w:rPr>
          <w:szCs w:val="24"/>
          <w:lang w:eastAsia="en-GB"/>
        </w:rPr>
        <w:t xml:space="preserve"> </w:t>
      </w:r>
      <w:r w:rsidRPr="003D6A87">
        <w:rPr>
          <w:szCs w:val="24"/>
          <w:lang w:eastAsia="en-GB"/>
        </w:rPr>
        <w:t xml:space="preserve">will be granted access to all documents </w:t>
      </w:r>
      <w:r w:rsidRPr="003D6A87">
        <w:rPr>
          <w:szCs w:val="24"/>
          <w:lang w:eastAsia="en-GB"/>
        </w:rPr>
        <w:lastRenderedPageBreak/>
        <w:t xml:space="preserve">making up the Commission´s file, with the exception of internal documents and confidential </w:t>
      </w:r>
      <w:r w:rsidR="0082244E">
        <w:rPr>
          <w:szCs w:val="24"/>
          <w:lang w:eastAsia="en-GB"/>
        </w:rPr>
        <w:t>information</w:t>
      </w:r>
      <w:r w:rsidRPr="003D6A87">
        <w:rPr>
          <w:szCs w:val="24"/>
          <w:lang w:eastAsia="en-GB"/>
        </w:rPr>
        <w:t xml:space="preserve">. Access to the file is granted to the </w:t>
      </w:r>
      <w:r w:rsidR="00092487">
        <w:rPr>
          <w:szCs w:val="24"/>
          <w:lang w:eastAsia="en-GB"/>
        </w:rPr>
        <w:t>addressee</w:t>
      </w:r>
      <w:r w:rsidR="00092487" w:rsidRPr="003D6A87">
        <w:rPr>
          <w:szCs w:val="24"/>
          <w:lang w:eastAsia="en-GB"/>
        </w:rPr>
        <w:t xml:space="preserve">s </w:t>
      </w:r>
      <w:r w:rsidRPr="003D6A87">
        <w:rPr>
          <w:szCs w:val="24"/>
          <w:lang w:eastAsia="en-GB"/>
        </w:rPr>
        <w:t>after an SO has been notified.</w:t>
      </w:r>
    </w:p>
    <w:p w14:paraId="71D50CCA" w14:textId="36C33353" w:rsidR="003D6A87" w:rsidRPr="003D6A87" w:rsidRDefault="003D6A87">
      <w:pPr>
        <w:pStyle w:val="ListNumber"/>
        <w:numPr>
          <w:ilvl w:val="0"/>
          <w:numId w:val="22"/>
        </w:numPr>
        <w:rPr>
          <w:szCs w:val="24"/>
          <w:lang w:eastAsia="en-GB"/>
        </w:rPr>
      </w:pPr>
      <w:r w:rsidRPr="003D6A87">
        <w:rPr>
          <w:szCs w:val="24"/>
          <w:lang w:eastAsia="en-GB"/>
        </w:rPr>
        <w:t xml:space="preserve">Traditionally, DG Competition requests </w:t>
      </w:r>
      <w:r w:rsidR="00092487">
        <w:rPr>
          <w:szCs w:val="24"/>
          <w:lang w:eastAsia="en-GB"/>
        </w:rPr>
        <w:t>any person providing information for the Commission´s file (</w:t>
      </w:r>
      <w:r w:rsidR="005A614A">
        <w:rPr>
          <w:szCs w:val="24"/>
          <w:lang w:eastAsia="en-GB"/>
        </w:rPr>
        <w:t xml:space="preserve">the </w:t>
      </w:r>
      <w:r w:rsidRPr="003D6A87">
        <w:rPr>
          <w:szCs w:val="24"/>
          <w:lang w:eastAsia="en-GB"/>
        </w:rPr>
        <w:t>information provider</w:t>
      </w:r>
      <w:r w:rsidR="00092487">
        <w:rPr>
          <w:szCs w:val="24"/>
          <w:lang w:eastAsia="en-GB"/>
        </w:rPr>
        <w:t>)</w:t>
      </w:r>
      <w:r w:rsidR="00FB2F90">
        <w:rPr>
          <w:szCs w:val="24"/>
          <w:lang w:eastAsia="en-GB"/>
        </w:rPr>
        <w:t xml:space="preserve"> to prepare</w:t>
      </w:r>
      <w:r w:rsidRPr="003D6A87">
        <w:rPr>
          <w:szCs w:val="24"/>
          <w:lang w:eastAsia="en-GB"/>
        </w:rPr>
        <w:t xml:space="preserve"> </w:t>
      </w:r>
      <w:r w:rsidR="00092487">
        <w:rPr>
          <w:szCs w:val="24"/>
          <w:lang w:eastAsia="en-GB"/>
        </w:rPr>
        <w:t xml:space="preserve">a </w:t>
      </w:r>
      <w:r w:rsidRPr="003D6A87">
        <w:rPr>
          <w:szCs w:val="24"/>
          <w:lang w:eastAsia="en-GB"/>
        </w:rPr>
        <w:t>non-confidential version of the original documents. In some instances, it may not be possible for the information provider to provide, in a timely manner, a meaningful non-confidential version. However, granting access to such information may be necessary for an effective exercise of the rights of defence.</w:t>
      </w:r>
    </w:p>
    <w:p w14:paraId="343B3CC3" w14:textId="77777777" w:rsidR="003D6A87" w:rsidRPr="003D6A87" w:rsidRDefault="003D6A87">
      <w:pPr>
        <w:pStyle w:val="Heading1"/>
        <w:rPr>
          <w:b w:val="0"/>
          <w:kern w:val="32"/>
          <w:szCs w:val="24"/>
          <w:lang w:eastAsia="en-GB"/>
        </w:rPr>
      </w:pPr>
      <w:r w:rsidRPr="003D6A87">
        <w:rPr>
          <w:kern w:val="32"/>
          <w:szCs w:val="24"/>
          <w:lang w:eastAsia="en-GB"/>
        </w:rPr>
        <w:t>Confidentiality rings as a means of providing access to file</w:t>
      </w:r>
    </w:p>
    <w:p w14:paraId="392BEA6C" w14:textId="49DBD3CD" w:rsidR="003D6A87" w:rsidRPr="003D6A87" w:rsidRDefault="003D6A87">
      <w:pPr>
        <w:pStyle w:val="ListNumber"/>
        <w:numPr>
          <w:ilvl w:val="0"/>
          <w:numId w:val="22"/>
        </w:numPr>
        <w:rPr>
          <w:szCs w:val="24"/>
          <w:lang w:eastAsia="en-GB"/>
        </w:rPr>
      </w:pPr>
      <w:r w:rsidRPr="003D6A87">
        <w:rPr>
          <w:szCs w:val="24"/>
          <w:lang w:eastAsia="en-GB"/>
        </w:rPr>
        <w:t>In accordance with Article 339 TFEU, the Commission has a general duty to protect confidential information. Notwithstanding this, in antitrust proceedings confidential information may exceptionally be disclosed when such disclosure is necessary to prove an infringement of Articles 101 or 102 TFEU,</w:t>
      </w:r>
      <w:r w:rsidRPr="003D6A87">
        <w:rPr>
          <w:szCs w:val="24"/>
          <w:vertAlign w:val="superscript"/>
          <w:lang w:eastAsia="en-GB"/>
        </w:rPr>
        <w:footnoteReference w:id="5"/>
      </w:r>
      <w:r w:rsidRPr="003D6A87">
        <w:rPr>
          <w:szCs w:val="24"/>
          <w:lang w:eastAsia="en-GB"/>
        </w:rPr>
        <w:t xml:space="preserve"> or to safeguard the rights of defence of the parties.</w:t>
      </w:r>
      <w:r w:rsidRPr="003D6A87">
        <w:rPr>
          <w:szCs w:val="24"/>
          <w:vertAlign w:val="superscript"/>
          <w:lang w:eastAsia="en-GB"/>
        </w:rPr>
        <w:footnoteReference w:id="6"/>
      </w:r>
      <w:r w:rsidRPr="003D6A87">
        <w:rPr>
          <w:szCs w:val="24"/>
          <w:lang w:eastAsia="en-GB"/>
        </w:rPr>
        <w:t xml:space="preserve"> </w:t>
      </w:r>
    </w:p>
    <w:p w14:paraId="7858EA8B" w14:textId="2AE5421C" w:rsidR="003D6A87" w:rsidRPr="00B72A8F" w:rsidRDefault="003D6A87">
      <w:pPr>
        <w:pStyle w:val="ListNumber"/>
        <w:numPr>
          <w:ilvl w:val="0"/>
          <w:numId w:val="22"/>
        </w:numPr>
        <w:rPr>
          <w:szCs w:val="24"/>
          <w:lang w:eastAsia="en-GB"/>
        </w:rPr>
      </w:pPr>
      <w:r w:rsidRPr="003D6A87">
        <w:rPr>
          <w:szCs w:val="24"/>
          <w:lang w:eastAsia="en-GB"/>
        </w:rPr>
        <w:t>Confidentiality rings are a form of negotiated disclosure set out in point 96 of the Commission notice on best practices for the conduct of proceedings concerning Articles 101 and 102 TFEU (hereafter "the Antitrust Best Practices").</w:t>
      </w:r>
      <w:r w:rsidRPr="003D6A87">
        <w:rPr>
          <w:szCs w:val="24"/>
          <w:vertAlign w:val="superscript"/>
          <w:lang w:eastAsia="en-GB"/>
        </w:rPr>
        <w:footnoteReference w:id="7"/>
      </w:r>
      <w:r w:rsidRPr="003D6A87">
        <w:rPr>
          <w:szCs w:val="24"/>
          <w:lang w:eastAsia="en-GB"/>
        </w:rPr>
        <w:t xml:space="preserve"> Through confidentiality rings, DG Competition can safeguard the rights of defence while respecting the </w:t>
      </w:r>
      <w:r w:rsidRPr="005A614A">
        <w:rPr>
          <w:szCs w:val="24"/>
          <w:lang w:eastAsia="en-GB"/>
        </w:rPr>
        <w:t xml:space="preserve">legitimate interests </w:t>
      </w:r>
      <w:r w:rsidR="00092487" w:rsidRPr="005A614A">
        <w:rPr>
          <w:szCs w:val="24"/>
          <w:lang w:eastAsia="en-GB"/>
        </w:rPr>
        <w:t xml:space="preserve">in </w:t>
      </w:r>
      <w:r w:rsidRPr="005A614A">
        <w:rPr>
          <w:szCs w:val="24"/>
          <w:lang w:eastAsia="en-GB"/>
        </w:rPr>
        <w:t>confidentiality</w:t>
      </w:r>
      <w:r w:rsidRPr="003D6A87">
        <w:rPr>
          <w:szCs w:val="24"/>
          <w:lang w:eastAsia="en-GB"/>
        </w:rPr>
        <w:t xml:space="preserve"> of the information providers</w:t>
      </w:r>
      <w:r w:rsidR="00092487">
        <w:rPr>
          <w:szCs w:val="24"/>
          <w:lang w:eastAsia="en-GB"/>
        </w:rPr>
        <w:t xml:space="preserve">. In addition, confidentiality rings </w:t>
      </w:r>
      <w:r w:rsidR="00FB2F90">
        <w:rPr>
          <w:szCs w:val="24"/>
          <w:lang w:eastAsia="en-GB"/>
        </w:rPr>
        <w:t>remov</w:t>
      </w:r>
      <w:r w:rsidR="00092487">
        <w:rPr>
          <w:szCs w:val="24"/>
          <w:lang w:eastAsia="en-GB"/>
        </w:rPr>
        <w:t>e</w:t>
      </w:r>
      <w:r w:rsidR="00FB2F90">
        <w:rPr>
          <w:szCs w:val="24"/>
          <w:lang w:eastAsia="en-GB"/>
        </w:rPr>
        <w:t xml:space="preserve"> or reduc</w:t>
      </w:r>
      <w:r w:rsidR="00092487">
        <w:rPr>
          <w:szCs w:val="24"/>
          <w:lang w:eastAsia="en-GB"/>
        </w:rPr>
        <w:t>e</w:t>
      </w:r>
      <w:r w:rsidR="00FB2F90">
        <w:rPr>
          <w:szCs w:val="24"/>
          <w:lang w:eastAsia="en-GB"/>
        </w:rPr>
        <w:t xml:space="preserve"> the burden of preparing non-confidential versions of documents</w:t>
      </w:r>
      <w:r w:rsidRPr="003D6A87">
        <w:rPr>
          <w:szCs w:val="24"/>
          <w:lang w:eastAsia="en-GB"/>
        </w:rPr>
        <w:t xml:space="preserve">. </w:t>
      </w:r>
    </w:p>
    <w:p w14:paraId="34DFFE2C" w14:textId="253778F9" w:rsidR="003D6A87" w:rsidRPr="003D6A87" w:rsidRDefault="003D6A87">
      <w:pPr>
        <w:pStyle w:val="ListNumber"/>
        <w:numPr>
          <w:ilvl w:val="0"/>
          <w:numId w:val="22"/>
        </w:numPr>
        <w:rPr>
          <w:szCs w:val="24"/>
          <w:lang w:eastAsia="en-GB"/>
        </w:rPr>
      </w:pPr>
      <w:r w:rsidRPr="003D6A87">
        <w:rPr>
          <w:szCs w:val="24"/>
          <w:lang w:eastAsia="en-GB"/>
        </w:rPr>
        <w:t xml:space="preserve">In a confidentiality ring, an </w:t>
      </w:r>
      <w:r w:rsidR="005A614A">
        <w:rPr>
          <w:szCs w:val="24"/>
          <w:lang w:eastAsia="en-GB"/>
        </w:rPr>
        <w:t xml:space="preserve">SO </w:t>
      </w:r>
      <w:r w:rsidRPr="003D6A87">
        <w:rPr>
          <w:szCs w:val="24"/>
          <w:lang w:eastAsia="en-GB"/>
        </w:rPr>
        <w:t>addressee</w:t>
      </w:r>
      <w:r w:rsidR="00B72A8F">
        <w:rPr>
          <w:szCs w:val="24"/>
          <w:lang w:eastAsia="en-GB"/>
        </w:rPr>
        <w:t xml:space="preserve">, </w:t>
      </w:r>
      <w:r w:rsidRPr="003D6A87">
        <w:rPr>
          <w:szCs w:val="24"/>
          <w:lang w:eastAsia="en-GB"/>
        </w:rPr>
        <w:t xml:space="preserve">who is entitled to access to </w:t>
      </w:r>
      <w:r w:rsidR="00B72A8F">
        <w:rPr>
          <w:szCs w:val="24"/>
          <w:lang w:eastAsia="en-GB"/>
        </w:rPr>
        <w:t xml:space="preserve">documents in the Commission's </w:t>
      </w:r>
      <w:r w:rsidRPr="003D6A87">
        <w:rPr>
          <w:szCs w:val="24"/>
          <w:lang w:eastAsia="en-GB"/>
        </w:rPr>
        <w:t>file</w:t>
      </w:r>
      <w:r w:rsidR="00B72A8F">
        <w:rPr>
          <w:szCs w:val="24"/>
          <w:lang w:eastAsia="en-GB"/>
        </w:rPr>
        <w:t>,</w:t>
      </w:r>
      <w:r w:rsidRPr="003D6A87">
        <w:rPr>
          <w:szCs w:val="24"/>
          <w:lang w:eastAsia="en-GB"/>
        </w:rPr>
        <w:t xml:space="preserve"> agrees with the information provider to receive all or some of the information which the latter has provided to the Commission, including confidential information. The</w:t>
      </w:r>
      <w:r w:rsidR="005A614A">
        <w:rPr>
          <w:szCs w:val="24"/>
          <w:lang w:eastAsia="en-GB"/>
        </w:rPr>
        <w:t xml:space="preserve"> SO</w:t>
      </w:r>
      <w:r w:rsidRPr="003D6A87">
        <w:rPr>
          <w:szCs w:val="24"/>
          <w:lang w:eastAsia="en-GB"/>
        </w:rPr>
        <w:t xml:space="preserve"> addressee limits access to the information to a restricted circle of persons (the members of the confidentiality ring).</w:t>
      </w:r>
    </w:p>
    <w:p w14:paraId="39B73C32" w14:textId="77777777" w:rsidR="003D6A87" w:rsidRPr="003D6A87" w:rsidRDefault="003D6A87">
      <w:pPr>
        <w:pStyle w:val="ListNumber"/>
        <w:numPr>
          <w:ilvl w:val="0"/>
          <w:numId w:val="22"/>
        </w:numPr>
        <w:rPr>
          <w:szCs w:val="24"/>
          <w:lang w:eastAsia="en-GB"/>
        </w:rPr>
      </w:pPr>
      <w:r w:rsidRPr="003D6A87">
        <w:rPr>
          <w:szCs w:val="24"/>
          <w:lang w:eastAsia="en-GB"/>
        </w:rPr>
        <w:t xml:space="preserve">The procedure can be used irrespective of whether the information provider is a party to the proceedings or a third party. </w:t>
      </w:r>
    </w:p>
    <w:p w14:paraId="1748B523" w14:textId="5BC872A8" w:rsidR="003D6A87" w:rsidRPr="003D6A87" w:rsidRDefault="003D6A87">
      <w:pPr>
        <w:pStyle w:val="ListNumber"/>
        <w:numPr>
          <w:ilvl w:val="0"/>
          <w:numId w:val="22"/>
        </w:numPr>
        <w:rPr>
          <w:szCs w:val="24"/>
          <w:lang w:eastAsia="en-GB"/>
        </w:rPr>
      </w:pPr>
      <w:r w:rsidRPr="003D6A87">
        <w:rPr>
          <w:szCs w:val="24"/>
          <w:lang w:eastAsia="en-GB"/>
        </w:rPr>
        <w:t xml:space="preserve">An information provider may agree to a confidentiality ring vis-à-vis some parties but not others. </w:t>
      </w:r>
    </w:p>
    <w:p w14:paraId="5B59AB66" w14:textId="3A6E574F" w:rsidR="003D6A87" w:rsidRPr="003D6A87" w:rsidRDefault="003D6A87">
      <w:pPr>
        <w:pStyle w:val="Heading1"/>
        <w:rPr>
          <w:b w:val="0"/>
          <w:kern w:val="32"/>
          <w:szCs w:val="24"/>
          <w:lang w:eastAsia="en-GB"/>
        </w:rPr>
      </w:pPr>
      <w:r>
        <w:rPr>
          <w:kern w:val="32"/>
          <w:szCs w:val="24"/>
          <w:lang w:eastAsia="en-GB"/>
        </w:rPr>
        <w:t>Role of DG Competition</w:t>
      </w:r>
    </w:p>
    <w:p w14:paraId="4CD17B18" w14:textId="33779CB2" w:rsidR="00B72A8F" w:rsidRDefault="00F5472F">
      <w:pPr>
        <w:pStyle w:val="ListNumber"/>
        <w:numPr>
          <w:ilvl w:val="0"/>
          <w:numId w:val="22"/>
        </w:numPr>
        <w:rPr>
          <w:szCs w:val="24"/>
          <w:lang w:eastAsia="en-GB"/>
        </w:rPr>
      </w:pPr>
      <w:r>
        <w:rPr>
          <w:szCs w:val="24"/>
          <w:lang w:eastAsia="en-GB"/>
        </w:rPr>
        <w:t xml:space="preserve">DG Competition </w:t>
      </w:r>
      <w:r w:rsidR="0004591D">
        <w:rPr>
          <w:szCs w:val="24"/>
          <w:lang w:eastAsia="en-GB"/>
        </w:rPr>
        <w:t>may</w:t>
      </w:r>
      <w:r>
        <w:rPr>
          <w:szCs w:val="24"/>
          <w:lang w:eastAsia="en-GB"/>
        </w:rPr>
        <w:t xml:space="preserve"> </w:t>
      </w:r>
      <w:r w:rsidR="0004591D">
        <w:rPr>
          <w:szCs w:val="24"/>
          <w:lang w:eastAsia="en-GB"/>
        </w:rPr>
        <w:t>facilitate</w:t>
      </w:r>
      <w:r>
        <w:rPr>
          <w:szCs w:val="24"/>
          <w:lang w:eastAsia="en-GB"/>
        </w:rPr>
        <w:t xml:space="preserve"> the </w:t>
      </w:r>
      <w:r w:rsidR="0004591D">
        <w:rPr>
          <w:szCs w:val="24"/>
          <w:lang w:eastAsia="en-GB"/>
        </w:rPr>
        <w:t xml:space="preserve">conclusion of an agreement between information provider and </w:t>
      </w:r>
      <w:r w:rsidR="005A614A">
        <w:rPr>
          <w:szCs w:val="24"/>
          <w:lang w:eastAsia="en-GB"/>
        </w:rPr>
        <w:t xml:space="preserve">SO </w:t>
      </w:r>
      <w:r w:rsidR="0004591D">
        <w:rPr>
          <w:szCs w:val="24"/>
          <w:lang w:eastAsia="en-GB"/>
        </w:rPr>
        <w:t>addressee to establish a confidentiality ring.</w:t>
      </w:r>
    </w:p>
    <w:p w14:paraId="228166B8" w14:textId="0F820A70" w:rsidR="003D6A87" w:rsidRPr="003D6A87" w:rsidRDefault="003D6A87">
      <w:pPr>
        <w:pStyle w:val="ListNumber"/>
        <w:numPr>
          <w:ilvl w:val="0"/>
          <w:numId w:val="22"/>
        </w:numPr>
        <w:rPr>
          <w:szCs w:val="24"/>
          <w:lang w:eastAsia="en-GB"/>
        </w:rPr>
      </w:pPr>
      <w:r w:rsidRPr="003D6A87">
        <w:rPr>
          <w:szCs w:val="24"/>
          <w:lang w:eastAsia="en-GB"/>
        </w:rPr>
        <w:t xml:space="preserve">DG Competition has discretion to decide whether a confidentiality ring is appropriate in a particular case. As is the case with data rooms, DG Competition may decide to propose a confidentiality ring, either on its own motion or upon a request from an </w:t>
      </w:r>
      <w:r w:rsidR="005A614A">
        <w:rPr>
          <w:szCs w:val="24"/>
          <w:lang w:eastAsia="en-GB"/>
        </w:rPr>
        <w:t xml:space="preserve">SO </w:t>
      </w:r>
      <w:r w:rsidRPr="003D6A87">
        <w:rPr>
          <w:szCs w:val="24"/>
          <w:lang w:eastAsia="en-GB"/>
        </w:rPr>
        <w:lastRenderedPageBreak/>
        <w:t>addressee</w:t>
      </w:r>
      <w:r w:rsidR="00C6485B">
        <w:rPr>
          <w:szCs w:val="24"/>
          <w:lang w:eastAsia="en-GB"/>
        </w:rPr>
        <w:t xml:space="preserve"> or an </w:t>
      </w:r>
      <w:r w:rsidR="00876664">
        <w:rPr>
          <w:szCs w:val="24"/>
          <w:lang w:eastAsia="en-GB"/>
        </w:rPr>
        <w:t>I</w:t>
      </w:r>
      <w:r w:rsidR="00C6485B">
        <w:rPr>
          <w:szCs w:val="24"/>
          <w:lang w:eastAsia="en-GB"/>
        </w:rPr>
        <w:t xml:space="preserve">nformation </w:t>
      </w:r>
      <w:r w:rsidR="00876664">
        <w:rPr>
          <w:szCs w:val="24"/>
          <w:lang w:eastAsia="en-GB"/>
        </w:rPr>
        <w:t>P</w:t>
      </w:r>
      <w:r w:rsidR="00C6485B">
        <w:rPr>
          <w:szCs w:val="24"/>
          <w:lang w:eastAsia="en-GB"/>
        </w:rPr>
        <w:t>rovider</w:t>
      </w:r>
      <w:r w:rsidRPr="003D6A87">
        <w:rPr>
          <w:szCs w:val="24"/>
          <w:lang w:eastAsia="en-GB"/>
        </w:rPr>
        <w:t xml:space="preserve">. This means that </w:t>
      </w:r>
      <w:r w:rsidR="00C6485B">
        <w:rPr>
          <w:szCs w:val="24"/>
          <w:lang w:eastAsia="en-GB"/>
        </w:rPr>
        <w:t>an</w:t>
      </w:r>
      <w:r w:rsidRPr="003D6A87">
        <w:rPr>
          <w:szCs w:val="24"/>
          <w:lang w:eastAsia="en-GB"/>
        </w:rPr>
        <w:t xml:space="preserve"> </w:t>
      </w:r>
      <w:r w:rsidR="005A614A">
        <w:rPr>
          <w:szCs w:val="24"/>
          <w:lang w:eastAsia="en-GB"/>
        </w:rPr>
        <w:t xml:space="preserve">SO </w:t>
      </w:r>
      <w:r w:rsidR="00C6485B">
        <w:rPr>
          <w:szCs w:val="24"/>
          <w:lang w:eastAsia="en-GB"/>
        </w:rPr>
        <w:t>addressee or information provider</w:t>
      </w:r>
      <w:r w:rsidR="00C6485B" w:rsidRPr="003D6A87">
        <w:rPr>
          <w:szCs w:val="24"/>
          <w:lang w:eastAsia="en-GB"/>
        </w:rPr>
        <w:t xml:space="preserve"> </w:t>
      </w:r>
      <w:r w:rsidRPr="003D6A87">
        <w:rPr>
          <w:szCs w:val="24"/>
          <w:lang w:eastAsia="en-GB"/>
        </w:rPr>
        <w:t>may propose that DG Competition facilitate</w:t>
      </w:r>
      <w:r w:rsidR="0004591D">
        <w:rPr>
          <w:szCs w:val="24"/>
          <w:lang w:eastAsia="en-GB"/>
        </w:rPr>
        <w:t>s</w:t>
      </w:r>
      <w:r w:rsidRPr="003D6A87">
        <w:rPr>
          <w:szCs w:val="24"/>
          <w:lang w:eastAsia="en-GB"/>
        </w:rPr>
        <w:t xml:space="preserve"> a confidentiality ring, but DG Competition has discretion to accept the proposal or not. DG Competition may also suggest that </w:t>
      </w:r>
      <w:r w:rsidR="00C6485B">
        <w:rPr>
          <w:szCs w:val="24"/>
          <w:lang w:eastAsia="en-GB"/>
        </w:rPr>
        <w:t xml:space="preserve">an </w:t>
      </w:r>
      <w:r w:rsidR="005A614A">
        <w:rPr>
          <w:szCs w:val="24"/>
          <w:lang w:eastAsia="en-GB"/>
        </w:rPr>
        <w:t xml:space="preserve">SO </w:t>
      </w:r>
      <w:r w:rsidR="00C6485B">
        <w:rPr>
          <w:szCs w:val="24"/>
          <w:lang w:eastAsia="en-GB"/>
        </w:rPr>
        <w:t>addressee or information provider</w:t>
      </w:r>
      <w:r w:rsidRPr="003D6A87">
        <w:rPr>
          <w:szCs w:val="24"/>
          <w:lang w:eastAsia="en-GB"/>
        </w:rPr>
        <w:t xml:space="preserve"> make such a proposal but the</w:t>
      </w:r>
      <w:r w:rsidR="00C6485B">
        <w:rPr>
          <w:szCs w:val="24"/>
          <w:lang w:eastAsia="en-GB"/>
        </w:rPr>
        <w:t>y</w:t>
      </w:r>
      <w:r w:rsidRPr="003D6A87">
        <w:rPr>
          <w:szCs w:val="24"/>
          <w:lang w:eastAsia="en-GB"/>
        </w:rPr>
        <w:t xml:space="preserve"> have no obligation to agree to it.</w:t>
      </w:r>
    </w:p>
    <w:p w14:paraId="30F0D254" w14:textId="2E219B3E" w:rsidR="003D6A87" w:rsidRPr="003D6A87" w:rsidRDefault="003D6A87">
      <w:pPr>
        <w:pStyle w:val="ListNumber"/>
        <w:numPr>
          <w:ilvl w:val="0"/>
          <w:numId w:val="22"/>
        </w:numPr>
        <w:rPr>
          <w:szCs w:val="24"/>
          <w:lang w:eastAsia="en-GB"/>
        </w:rPr>
      </w:pPr>
      <w:r w:rsidRPr="003D6A87">
        <w:rPr>
          <w:szCs w:val="24"/>
          <w:lang w:eastAsia="en-GB"/>
        </w:rPr>
        <w:t xml:space="preserve">To facilitate a confidentiality ring, DG Competition </w:t>
      </w:r>
      <w:r w:rsidR="00C6485B">
        <w:rPr>
          <w:szCs w:val="24"/>
          <w:lang w:eastAsia="en-GB"/>
        </w:rPr>
        <w:t>may</w:t>
      </w:r>
      <w:r w:rsidRPr="003D6A87">
        <w:rPr>
          <w:szCs w:val="24"/>
          <w:lang w:eastAsia="en-GB"/>
        </w:rPr>
        <w:t>:</w:t>
      </w:r>
    </w:p>
    <w:p w14:paraId="21C1A71A" w14:textId="35A6FE04" w:rsidR="003D6A87" w:rsidRPr="003D6A87" w:rsidRDefault="003D6A87">
      <w:pPr>
        <w:spacing w:after="0"/>
        <w:ind w:left="1440" w:hanging="720"/>
        <w:rPr>
          <w:szCs w:val="24"/>
          <w:lang w:eastAsia="en-GB"/>
        </w:rPr>
      </w:pPr>
      <w:r w:rsidRPr="003D6A87">
        <w:rPr>
          <w:szCs w:val="24"/>
          <w:lang w:eastAsia="en-GB"/>
        </w:rPr>
        <w:t>a.</w:t>
      </w:r>
      <w:r w:rsidRPr="003D6A87">
        <w:rPr>
          <w:szCs w:val="24"/>
          <w:lang w:eastAsia="en-GB"/>
        </w:rPr>
        <w:tab/>
        <w:t>Help the</w:t>
      </w:r>
      <w:r w:rsidR="005A614A">
        <w:rPr>
          <w:szCs w:val="24"/>
          <w:lang w:eastAsia="en-GB"/>
        </w:rPr>
        <w:t xml:space="preserve"> SO</w:t>
      </w:r>
      <w:r w:rsidRPr="003D6A87">
        <w:rPr>
          <w:szCs w:val="24"/>
          <w:lang w:eastAsia="en-GB"/>
        </w:rPr>
        <w:t xml:space="preserve"> addressee and the information provider to consent to the use of a confidentiality ring by proposing a suitable draft </w:t>
      </w:r>
      <w:r w:rsidR="00B83551">
        <w:rPr>
          <w:szCs w:val="24"/>
          <w:lang w:eastAsia="en-GB"/>
        </w:rPr>
        <w:t>negotiated disclosure agreement</w:t>
      </w:r>
      <w:r w:rsidRPr="003D6A87">
        <w:rPr>
          <w:szCs w:val="24"/>
          <w:lang w:eastAsia="en-GB"/>
        </w:rPr>
        <w:t>. This includes supervising the parties´ efforts to define the members of the confidentiality ring;</w:t>
      </w:r>
    </w:p>
    <w:p w14:paraId="1D3447F8" w14:textId="77777777" w:rsidR="003D6A87" w:rsidRPr="003D6A87" w:rsidRDefault="003D6A87">
      <w:pPr>
        <w:spacing w:after="0"/>
        <w:rPr>
          <w:szCs w:val="24"/>
          <w:lang w:eastAsia="en-GB"/>
        </w:rPr>
      </w:pPr>
    </w:p>
    <w:p w14:paraId="79B9BF6B" w14:textId="77777777" w:rsidR="003D6A87" w:rsidRPr="003D6A87" w:rsidRDefault="003D6A87">
      <w:pPr>
        <w:spacing w:after="0"/>
        <w:ind w:left="1440" w:hanging="720"/>
        <w:rPr>
          <w:szCs w:val="24"/>
          <w:lang w:eastAsia="en-GB"/>
        </w:rPr>
      </w:pPr>
      <w:r w:rsidRPr="003D6A87">
        <w:rPr>
          <w:szCs w:val="24"/>
          <w:lang w:eastAsia="en-GB"/>
        </w:rPr>
        <w:t>b.</w:t>
      </w:r>
      <w:r w:rsidRPr="003D6A87">
        <w:rPr>
          <w:szCs w:val="24"/>
          <w:lang w:eastAsia="en-GB"/>
        </w:rPr>
        <w:tab/>
        <w:t xml:space="preserve">Prepare the DVDs/USB sticks or any other form of electronic media which contain the documents that form part of the confidentiality ring. </w:t>
      </w:r>
    </w:p>
    <w:p w14:paraId="65F17344" w14:textId="77777777" w:rsidR="003D6A87" w:rsidRPr="003D6A87" w:rsidRDefault="003D6A87">
      <w:pPr>
        <w:spacing w:after="0"/>
        <w:ind w:left="720"/>
        <w:rPr>
          <w:szCs w:val="24"/>
          <w:lang w:eastAsia="en-GB"/>
        </w:rPr>
      </w:pPr>
    </w:p>
    <w:p w14:paraId="7ADFDA3B" w14:textId="5917EAC5" w:rsidR="003D6A87" w:rsidRPr="003D6A87" w:rsidRDefault="003D6A87">
      <w:pPr>
        <w:pStyle w:val="ListNumber"/>
        <w:numPr>
          <w:ilvl w:val="0"/>
          <w:numId w:val="22"/>
        </w:numPr>
        <w:rPr>
          <w:szCs w:val="24"/>
          <w:lang w:eastAsia="en-GB"/>
        </w:rPr>
      </w:pPr>
      <w:r w:rsidRPr="003D6A87">
        <w:rPr>
          <w:szCs w:val="24"/>
          <w:lang w:eastAsia="en-GB"/>
        </w:rPr>
        <w:t xml:space="preserve">Once the </w:t>
      </w:r>
      <w:r w:rsidR="00876664">
        <w:rPr>
          <w:szCs w:val="24"/>
          <w:lang w:eastAsia="en-GB"/>
        </w:rPr>
        <w:t xml:space="preserve">SO </w:t>
      </w:r>
      <w:r w:rsidRPr="003D6A87">
        <w:rPr>
          <w:szCs w:val="24"/>
          <w:lang w:eastAsia="en-GB"/>
        </w:rPr>
        <w:t>addressee, the information provider and DG Competition agree on the principle of using a confidentiality ring for some (or all) documents</w:t>
      </w:r>
      <w:r w:rsidR="0004591D">
        <w:rPr>
          <w:szCs w:val="24"/>
          <w:lang w:eastAsia="en-GB"/>
        </w:rPr>
        <w:t xml:space="preserve"> subject to access to file</w:t>
      </w:r>
      <w:r w:rsidRPr="003D6A87">
        <w:rPr>
          <w:szCs w:val="24"/>
          <w:lang w:eastAsia="en-GB"/>
        </w:rPr>
        <w:t xml:space="preserve">, they can start discussing the text of the </w:t>
      </w:r>
      <w:r w:rsidR="00B83551">
        <w:rPr>
          <w:szCs w:val="24"/>
          <w:lang w:eastAsia="en-GB"/>
        </w:rPr>
        <w:t>negotiated disclosure agreement</w:t>
      </w:r>
      <w:r w:rsidRPr="003D6A87">
        <w:rPr>
          <w:szCs w:val="24"/>
          <w:lang w:eastAsia="en-GB"/>
        </w:rPr>
        <w:t xml:space="preserve">. This document must be signed before the confidentiality ring starts. Until the </w:t>
      </w:r>
      <w:r w:rsidR="00B83551">
        <w:rPr>
          <w:szCs w:val="24"/>
          <w:lang w:eastAsia="en-GB"/>
        </w:rPr>
        <w:t>negotiated disclosure agreement</w:t>
      </w:r>
      <w:r w:rsidRPr="003D6A87">
        <w:rPr>
          <w:szCs w:val="24"/>
          <w:lang w:eastAsia="en-GB"/>
        </w:rPr>
        <w:t xml:space="preserve"> is signed, DG Competition</w:t>
      </w:r>
      <w:r w:rsidR="00C6485B">
        <w:rPr>
          <w:szCs w:val="24"/>
          <w:lang w:eastAsia="en-GB"/>
        </w:rPr>
        <w:t xml:space="preserve">, the </w:t>
      </w:r>
      <w:r w:rsidR="00876664">
        <w:rPr>
          <w:szCs w:val="24"/>
          <w:lang w:eastAsia="en-GB"/>
        </w:rPr>
        <w:t xml:space="preserve">SO </w:t>
      </w:r>
      <w:r w:rsidR="00C6485B">
        <w:rPr>
          <w:szCs w:val="24"/>
          <w:lang w:eastAsia="en-GB"/>
        </w:rPr>
        <w:t>addressee and the information provider</w:t>
      </w:r>
      <w:r w:rsidRPr="003D6A87">
        <w:rPr>
          <w:szCs w:val="24"/>
          <w:lang w:eastAsia="en-GB"/>
        </w:rPr>
        <w:t xml:space="preserve"> may decide to discontinue the process and revert to the normal access to file procedure.</w:t>
      </w:r>
    </w:p>
    <w:p w14:paraId="78C4042A" w14:textId="2C92E9D8" w:rsidR="003D6A87" w:rsidRPr="003D6A87" w:rsidRDefault="003D6A87">
      <w:pPr>
        <w:pStyle w:val="Heading1"/>
        <w:rPr>
          <w:b w:val="0"/>
          <w:kern w:val="32"/>
          <w:szCs w:val="24"/>
          <w:lang w:eastAsia="en-GB"/>
        </w:rPr>
      </w:pPr>
      <w:r w:rsidRPr="003D6A87">
        <w:rPr>
          <w:kern w:val="32"/>
          <w:szCs w:val="24"/>
          <w:lang w:eastAsia="en-GB"/>
        </w:rPr>
        <w:t>The Negotiated Disclosure Agreement</w:t>
      </w:r>
    </w:p>
    <w:p w14:paraId="506642E9" w14:textId="05967B8F" w:rsidR="003D6A87" w:rsidRPr="003D6A87" w:rsidRDefault="003D6A87">
      <w:pPr>
        <w:pStyle w:val="ListNumber"/>
        <w:numPr>
          <w:ilvl w:val="0"/>
          <w:numId w:val="22"/>
        </w:numPr>
        <w:rPr>
          <w:szCs w:val="24"/>
          <w:lang w:eastAsia="en-GB"/>
        </w:rPr>
      </w:pPr>
      <w:r w:rsidRPr="003D6A87">
        <w:rPr>
          <w:szCs w:val="24"/>
          <w:lang w:eastAsia="en-GB"/>
        </w:rPr>
        <w:t xml:space="preserve">The </w:t>
      </w:r>
      <w:r w:rsidR="00B83551">
        <w:rPr>
          <w:szCs w:val="24"/>
          <w:lang w:eastAsia="en-GB"/>
        </w:rPr>
        <w:t>negotiated disclosure agreement</w:t>
      </w:r>
      <w:r w:rsidRPr="003D6A87">
        <w:rPr>
          <w:szCs w:val="24"/>
          <w:lang w:eastAsia="en-GB"/>
        </w:rPr>
        <w:t xml:space="preserve"> (including its annexes) must be agreed upon by </w:t>
      </w:r>
      <w:r w:rsidR="00C6485B">
        <w:rPr>
          <w:szCs w:val="24"/>
          <w:lang w:eastAsia="en-GB"/>
        </w:rPr>
        <w:t xml:space="preserve">both the </w:t>
      </w:r>
      <w:r w:rsidR="00876664">
        <w:rPr>
          <w:szCs w:val="24"/>
          <w:lang w:eastAsia="en-GB"/>
        </w:rPr>
        <w:t xml:space="preserve">SO </w:t>
      </w:r>
      <w:r w:rsidR="00C6485B">
        <w:rPr>
          <w:szCs w:val="24"/>
          <w:lang w:eastAsia="en-GB"/>
        </w:rPr>
        <w:t>addressee and the information provider</w:t>
      </w:r>
      <w:r w:rsidRPr="003D6A87">
        <w:rPr>
          <w:szCs w:val="24"/>
          <w:lang w:eastAsia="en-GB"/>
        </w:rPr>
        <w:t xml:space="preserve">. The template may require some adjustments to take account of the specific circumstances of each case. </w:t>
      </w:r>
    </w:p>
    <w:p w14:paraId="7089C1B9" w14:textId="790ED751" w:rsidR="003D6A87" w:rsidRPr="003D6A87" w:rsidRDefault="003D6A87">
      <w:pPr>
        <w:pStyle w:val="ListNumber"/>
        <w:numPr>
          <w:ilvl w:val="0"/>
          <w:numId w:val="22"/>
        </w:numPr>
        <w:rPr>
          <w:szCs w:val="24"/>
          <w:lang w:eastAsia="en-GB"/>
        </w:rPr>
      </w:pPr>
      <w:r w:rsidRPr="003D6A87">
        <w:rPr>
          <w:szCs w:val="24"/>
          <w:lang w:eastAsia="en-GB"/>
        </w:rPr>
        <w:t xml:space="preserve">By signing the </w:t>
      </w:r>
      <w:r w:rsidR="00B83551">
        <w:rPr>
          <w:szCs w:val="24"/>
          <w:lang w:eastAsia="en-GB"/>
        </w:rPr>
        <w:t>negotiated disclosure agreement</w:t>
      </w:r>
      <w:r w:rsidRPr="003D6A87">
        <w:rPr>
          <w:szCs w:val="24"/>
          <w:lang w:eastAsia="en-GB"/>
        </w:rPr>
        <w:t xml:space="preserve">, the </w:t>
      </w:r>
      <w:r w:rsidR="00876664">
        <w:rPr>
          <w:szCs w:val="24"/>
          <w:lang w:eastAsia="en-GB"/>
        </w:rPr>
        <w:t xml:space="preserve">SO </w:t>
      </w:r>
      <w:r w:rsidRPr="003D6A87">
        <w:rPr>
          <w:szCs w:val="24"/>
          <w:lang w:eastAsia="en-GB"/>
        </w:rPr>
        <w:t>addressee agrees with:</w:t>
      </w:r>
    </w:p>
    <w:p w14:paraId="12345535" w14:textId="5A6546C0" w:rsidR="003D6A87" w:rsidRPr="003D6A87" w:rsidRDefault="003D6A87">
      <w:pPr>
        <w:numPr>
          <w:ilvl w:val="1"/>
          <w:numId w:val="19"/>
        </w:numPr>
        <w:spacing w:after="120"/>
        <w:contextualSpacing/>
        <w:rPr>
          <w:szCs w:val="24"/>
          <w:lang w:eastAsia="en-GB"/>
        </w:rPr>
      </w:pPr>
      <w:r w:rsidRPr="003D6A87">
        <w:rPr>
          <w:szCs w:val="24"/>
          <w:lang w:eastAsia="en-GB"/>
        </w:rPr>
        <w:t xml:space="preserve">The fact that the confidentiality ring procedure satisfies its access to file rights with respect to the documents covered by the confidentiality ring. </w:t>
      </w:r>
    </w:p>
    <w:p w14:paraId="7CB58221" w14:textId="77777777" w:rsidR="003D6A87" w:rsidRPr="003D6A87" w:rsidRDefault="003D6A87">
      <w:pPr>
        <w:spacing w:after="120"/>
        <w:ind w:left="1440"/>
        <w:contextualSpacing/>
        <w:rPr>
          <w:szCs w:val="24"/>
          <w:lang w:eastAsia="en-GB"/>
        </w:rPr>
      </w:pPr>
    </w:p>
    <w:p w14:paraId="5A4E2ED0" w14:textId="67B40119" w:rsidR="003D6A87" w:rsidRPr="003D6A87" w:rsidRDefault="003D6A87">
      <w:pPr>
        <w:numPr>
          <w:ilvl w:val="1"/>
          <w:numId w:val="19"/>
        </w:numPr>
        <w:spacing w:after="120"/>
        <w:contextualSpacing/>
        <w:rPr>
          <w:szCs w:val="24"/>
          <w:lang w:eastAsia="en-GB"/>
        </w:rPr>
      </w:pPr>
      <w:r w:rsidRPr="003D6A87">
        <w:rPr>
          <w:szCs w:val="24"/>
          <w:lang w:eastAsia="en-GB"/>
        </w:rPr>
        <w:t xml:space="preserve">The fact that </w:t>
      </w:r>
      <w:r w:rsidR="00876664">
        <w:rPr>
          <w:szCs w:val="24"/>
          <w:lang w:eastAsia="en-GB"/>
        </w:rPr>
        <w:t>its</w:t>
      </w:r>
      <w:r w:rsidR="00D71B2A" w:rsidRPr="003D6A87">
        <w:rPr>
          <w:szCs w:val="24"/>
          <w:lang w:eastAsia="en-GB"/>
        </w:rPr>
        <w:t xml:space="preserve"> </w:t>
      </w:r>
      <w:r w:rsidRPr="003D6A87">
        <w:rPr>
          <w:szCs w:val="24"/>
          <w:lang w:eastAsia="en-GB"/>
        </w:rPr>
        <w:t xml:space="preserve">external counsel </w:t>
      </w:r>
      <w:r w:rsidR="00D71B2A" w:rsidRPr="00CF5FC1">
        <w:rPr>
          <w:szCs w:val="24"/>
          <w:lang w:eastAsia="en-GB"/>
        </w:rPr>
        <w:t xml:space="preserve">who </w:t>
      </w:r>
      <w:r w:rsidR="00876664">
        <w:rPr>
          <w:szCs w:val="24"/>
          <w:lang w:eastAsia="en-GB"/>
        </w:rPr>
        <w:t>is</w:t>
      </w:r>
      <w:r w:rsidR="00D71B2A" w:rsidRPr="00CF5FC1">
        <w:rPr>
          <w:szCs w:val="24"/>
          <w:lang w:eastAsia="en-GB"/>
        </w:rPr>
        <w:t xml:space="preserve"> also member of the confidentiality ring </w:t>
      </w:r>
      <w:r w:rsidR="00876664">
        <w:rPr>
          <w:szCs w:val="24"/>
          <w:lang w:eastAsia="en-GB"/>
        </w:rPr>
        <w:t>is</w:t>
      </w:r>
      <w:r w:rsidR="00D71B2A" w:rsidRPr="003D6A87">
        <w:rPr>
          <w:szCs w:val="24"/>
          <w:lang w:eastAsia="en-GB"/>
        </w:rPr>
        <w:t xml:space="preserve"> </w:t>
      </w:r>
      <w:r w:rsidRPr="003D6A87">
        <w:rPr>
          <w:szCs w:val="24"/>
          <w:lang w:eastAsia="en-GB"/>
        </w:rPr>
        <w:t>released from any obligation to disclose to it information contained in the documents included in the confidentiality ring.</w:t>
      </w:r>
    </w:p>
    <w:p w14:paraId="7504E684" w14:textId="04874DB7" w:rsidR="003D6A87" w:rsidRPr="003D6A87" w:rsidRDefault="003D6A87">
      <w:pPr>
        <w:pStyle w:val="ListNumber"/>
        <w:numPr>
          <w:ilvl w:val="0"/>
          <w:numId w:val="22"/>
        </w:numPr>
        <w:rPr>
          <w:szCs w:val="24"/>
          <w:lang w:eastAsia="en-GB"/>
        </w:rPr>
      </w:pPr>
      <w:r w:rsidRPr="003D6A87">
        <w:rPr>
          <w:szCs w:val="24"/>
          <w:lang w:eastAsia="en-GB"/>
        </w:rPr>
        <w:t xml:space="preserve">By signing the </w:t>
      </w:r>
      <w:r w:rsidR="00B83551">
        <w:rPr>
          <w:szCs w:val="24"/>
          <w:lang w:eastAsia="en-GB"/>
        </w:rPr>
        <w:t>n</w:t>
      </w:r>
      <w:r w:rsidRPr="003D6A87">
        <w:rPr>
          <w:szCs w:val="24"/>
          <w:lang w:eastAsia="en-GB"/>
        </w:rPr>
        <w:t xml:space="preserve">egotiated </w:t>
      </w:r>
      <w:r w:rsidR="00B83551">
        <w:rPr>
          <w:szCs w:val="24"/>
          <w:lang w:eastAsia="en-GB"/>
        </w:rPr>
        <w:t>d</w:t>
      </w:r>
      <w:r w:rsidRPr="003D6A87">
        <w:rPr>
          <w:szCs w:val="24"/>
          <w:lang w:eastAsia="en-GB"/>
        </w:rPr>
        <w:t xml:space="preserve">isclosure </w:t>
      </w:r>
      <w:r w:rsidR="00B83551">
        <w:rPr>
          <w:szCs w:val="24"/>
          <w:lang w:eastAsia="en-GB"/>
        </w:rPr>
        <w:t>a</w:t>
      </w:r>
      <w:r w:rsidRPr="003D6A87">
        <w:rPr>
          <w:szCs w:val="24"/>
          <w:lang w:eastAsia="en-GB"/>
        </w:rPr>
        <w:t>greement, the information provider agrees with</w:t>
      </w:r>
      <w:r w:rsidR="00972CDC">
        <w:rPr>
          <w:szCs w:val="24"/>
          <w:lang w:eastAsia="en-GB"/>
        </w:rPr>
        <w:t>:</w:t>
      </w:r>
    </w:p>
    <w:p w14:paraId="6C8B8BB0" w14:textId="5ED6C255" w:rsidR="003D6A87" w:rsidRPr="003D6A87" w:rsidRDefault="003D6A87">
      <w:pPr>
        <w:numPr>
          <w:ilvl w:val="0"/>
          <w:numId w:val="21"/>
        </w:numPr>
        <w:spacing w:after="120"/>
        <w:contextualSpacing/>
        <w:rPr>
          <w:szCs w:val="24"/>
          <w:lang w:eastAsia="en-GB"/>
        </w:rPr>
      </w:pPr>
      <w:r w:rsidRPr="003D6A87">
        <w:rPr>
          <w:szCs w:val="24"/>
          <w:lang w:eastAsia="en-GB"/>
        </w:rPr>
        <w:t xml:space="preserve">A disclaimer stating that DG Competition's communication of the documents to the members of the confidentiality ring respects Article 339 TFEU and Article 28 of Regulation </w:t>
      </w:r>
      <w:r w:rsidR="00B72A8F">
        <w:rPr>
          <w:szCs w:val="24"/>
          <w:lang w:eastAsia="en-GB"/>
        </w:rPr>
        <w:t>N</w:t>
      </w:r>
      <w:r w:rsidRPr="003D6A87">
        <w:rPr>
          <w:szCs w:val="24"/>
          <w:lang w:eastAsia="en-GB"/>
        </w:rPr>
        <w:t xml:space="preserve">o. 1/2003. </w:t>
      </w:r>
    </w:p>
    <w:p w14:paraId="407ADFF7" w14:textId="77777777" w:rsidR="003D6A87" w:rsidRPr="003D6A87" w:rsidRDefault="003D6A87">
      <w:pPr>
        <w:spacing w:after="120"/>
        <w:ind w:left="1440"/>
        <w:contextualSpacing/>
        <w:rPr>
          <w:szCs w:val="24"/>
          <w:lang w:eastAsia="en-GB"/>
        </w:rPr>
      </w:pPr>
    </w:p>
    <w:p w14:paraId="44EED854" w14:textId="55BD1B0E" w:rsidR="003D6A87" w:rsidRPr="003D6A87" w:rsidRDefault="003D6A87">
      <w:pPr>
        <w:numPr>
          <w:ilvl w:val="0"/>
          <w:numId w:val="21"/>
        </w:numPr>
        <w:spacing w:after="120"/>
        <w:contextualSpacing/>
        <w:rPr>
          <w:szCs w:val="24"/>
          <w:lang w:eastAsia="en-GB"/>
        </w:rPr>
      </w:pPr>
      <w:r w:rsidRPr="003D6A87">
        <w:rPr>
          <w:szCs w:val="24"/>
          <w:lang w:eastAsia="en-GB"/>
        </w:rPr>
        <w:t xml:space="preserve">A disclaimer stating that in case of a breach of the </w:t>
      </w:r>
      <w:r w:rsidR="00B83551">
        <w:rPr>
          <w:szCs w:val="24"/>
          <w:lang w:eastAsia="en-GB"/>
        </w:rPr>
        <w:t>negotiated disclosure</w:t>
      </w:r>
      <w:r w:rsidR="00B83551" w:rsidRPr="003D6A87">
        <w:rPr>
          <w:szCs w:val="24"/>
          <w:lang w:eastAsia="en-GB"/>
        </w:rPr>
        <w:t xml:space="preserve"> </w:t>
      </w:r>
      <w:r w:rsidRPr="003D6A87">
        <w:rPr>
          <w:szCs w:val="24"/>
          <w:lang w:eastAsia="en-GB"/>
        </w:rPr>
        <w:t>agreement by a member of the confidentiality ring, the European Commission cannot be held liable under Article 340 TFEU for any unauthorised disclosure by the members of the confidentiality ring.</w:t>
      </w:r>
    </w:p>
    <w:p w14:paraId="19EDE0F0" w14:textId="77777777" w:rsidR="003D6A87" w:rsidRPr="003D6A87" w:rsidRDefault="003D6A87">
      <w:pPr>
        <w:spacing w:after="120"/>
        <w:ind w:left="1080"/>
        <w:contextualSpacing/>
        <w:rPr>
          <w:szCs w:val="24"/>
          <w:lang w:eastAsia="en-GB"/>
        </w:rPr>
      </w:pPr>
    </w:p>
    <w:p w14:paraId="55DB2988" w14:textId="6FEA1C7B" w:rsidR="003D6A87" w:rsidRPr="003D6A87" w:rsidRDefault="003D6A87">
      <w:pPr>
        <w:numPr>
          <w:ilvl w:val="0"/>
          <w:numId w:val="21"/>
        </w:numPr>
        <w:spacing w:after="120"/>
        <w:contextualSpacing/>
        <w:rPr>
          <w:szCs w:val="24"/>
          <w:lang w:eastAsia="en-GB"/>
        </w:rPr>
      </w:pPr>
      <w:r w:rsidRPr="003D6A87">
        <w:rPr>
          <w:szCs w:val="24"/>
          <w:lang w:eastAsia="en-GB"/>
        </w:rPr>
        <w:t>Th</w:t>
      </w:r>
      <w:r w:rsidR="00ED4755">
        <w:rPr>
          <w:szCs w:val="24"/>
          <w:lang w:eastAsia="en-GB"/>
        </w:rPr>
        <w:t xml:space="preserve">e fact that the inclusion of </w:t>
      </w:r>
      <w:r w:rsidRPr="003D6A87">
        <w:rPr>
          <w:szCs w:val="24"/>
          <w:lang w:eastAsia="en-GB"/>
        </w:rPr>
        <w:t>documents in the confidentiality ring procedure</w:t>
      </w:r>
      <w:r w:rsidR="00ED4755">
        <w:rPr>
          <w:szCs w:val="24"/>
          <w:lang w:eastAsia="en-GB"/>
        </w:rPr>
        <w:t xml:space="preserve"> does not </w:t>
      </w:r>
      <w:r w:rsidR="00C6485B">
        <w:rPr>
          <w:szCs w:val="24"/>
          <w:lang w:eastAsia="en-GB"/>
        </w:rPr>
        <w:t>necessarily imply</w:t>
      </w:r>
      <w:r w:rsidR="00ED4755">
        <w:rPr>
          <w:szCs w:val="24"/>
          <w:lang w:eastAsia="en-GB"/>
        </w:rPr>
        <w:t xml:space="preserve"> that </w:t>
      </w:r>
      <w:r w:rsidRPr="003D6A87">
        <w:rPr>
          <w:szCs w:val="24"/>
          <w:lang w:eastAsia="en-GB"/>
        </w:rPr>
        <w:t xml:space="preserve">these documents contain confidential information. </w:t>
      </w:r>
    </w:p>
    <w:p w14:paraId="53D53826" w14:textId="77777777" w:rsidR="003D6A87" w:rsidRPr="003D6A87" w:rsidRDefault="003D6A87">
      <w:pPr>
        <w:spacing w:after="120"/>
        <w:ind w:left="1440"/>
        <w:contextualSpacing/>
        <w:rPr>
          <w:szCs w:val="24"/>
          <w:lang w:eastAsia="en-GB"/>
        </w:rPr>
      </w:pPr>
    </w:p>
    <w:p w14:paraId="35D7D94E" w14:textId="52C3BD0E" w:rsidR="003D6A87" w:rsidRPr="003D6A87" w:rsidRDefault="003D6A87">
      <w:pPr>
        <w:pStyle w:val="ListNumber"/>
        <w:numPr>
          <w:ilvl w:val="0"/>
          <w:numId w:val="22"/>
        </w:numPr>
        <w:rPr>
          <w:szCs w:val="24"/>
          <w:lang w:eastAsia="en-GB"/>
        </w:rPr>
      </w:pPr>
      <w:r w:rsidRPr="003D6A87">
        <w:rPr>
          <w:szCs w:val="24"/>
          <w:lang w:eastAsia="en-GB"/>
        </w:rPr>
        <w:t xml:space="preserve">The </w:t>
      </w:r>
      <w:r w:rsidR="00B83551">
        <w:rPr>
          <w:szCs w:val="24"/>
          <w:lang w:eastAsia="en-GB"/>
        </w:rPr>
        <w:t>negotiated disclosure agreement</w:t>
      </w:r>
      <w:r w:rsidRPr="003D6A87">
        <w:rPr>
          <w:szCs w:val="24"/>
          <w:lang w:eastAsia="en-GB"/>
        </w:rPr>
        <w:t xml:space="preserve"> will contain a provision on the destruction of the documents included in the confidentiality ring after a certain time limit. </w:t>
      </w:r>
    </w:p>
    <w:p w14:paraId="1E8D0584" w14:textId="3A389B2D" w:rsidR="003D6A87" w:rsidRPr="003D6A87" w:rsidRDefault="003D6A87">
      <w:pPr>
        <w:pStyle w:val="ListNumber"/>
        <w:numPr>
          <w:ilvl w:val="0"/>
          <w:numId w:val="22"/>
        </w:numPr>
        <w:rPr>
          <w:szCs w:val="24"/>
          <w:lang w:eastAsia="en-GB"/>
        </w:rPr>
      </w:pPr>
      <w:r w:rsidRPr="003D6A87">
        <w:rPr>
          <w:szCs w:val="24"/>
          <w:lang w:eastAsia="en-GB"/>
        </w:rPr>
        <w:t xml:space="preserve">In case of violation of the </w:t>
      </w:r>
      <w:r w:rsidR="00B83551">
        <w:rPr>
          <w:szCs w:val="24"/>
          <w:lang w:eastAsia="en-GB"/>
        </w:rPr>
        <w:t>negotiated disclosure agreement</w:t>
      </w:r>
      <w:r w:rsidRPr="003D6A87">
        <w:rPr>
          <w:szCs w:val="24"/>
          <w:lang w:eastAsia="en-GB"/>
        </w:rPr>
        <w:t xml:space="preserve"> by an external counsel, the Commission may report the incident to the bar association of the lawyer concerned with a view to disciplinary action. </w:t>
      </w:r>
    </w:p>
    <w:p w14:paraId="231959D8" w14:textId="12CED878" w:rsidR="003D6A87" w:rsidRPr="003D6A87" w:rsidRDefault="003D6A87">
      <w:pPr>
        <w:pStyle w:val="Heading1"/>
        <w:rPr>
          <w:b w:val="0"/>
          <w:kern w:val="32"/>
          <w:szCs w:val="24"/>
          <w:lang w:eastAsia="en-GB"/>
        </w:rPr>
      </w:pPr>
      <w:r w:rsidRPr="003D6A87">
        <w:rPr>
          <w:kern w:val="32"/>
          <w:szCs w:val="24"/>
          <w:lang w:eastAsia="en-GB"/>
        </w:rPr>
        <w:t>The members of the confidentiality ring</w:t>
      </w:r>
    </w:p>
    <w:p w14:paraId="596CCFAB" w14:textId="591F8C7F" w:rsidR="003D6A87" w:rsidRPr="003D6A87" w:rsidRDefault="003D6A87">
      <w:pPr>
        <w:pStyle w:val="ListNumber"/>
        <w:numPr>
          <w:ilvl w:val="0"/>
          <w:numId w:val="22"/>
        </w:numPr>
        <w:rPr>
          <w:szCs w:val="24"/>
          <w:lang w:eastAsia="en-GB"/>
        </w:rPr>
      </w:pPr>
      <w:r w:rsidRPr="003D6A87">
        <w:rPr>
          <w:szCs w:val="24"/>
          <w:lang w:eastAsia="en-GB"/>
        </w:rPr>
        <w:t xml:space="preserve">A confidentiality ring would usually comprise the external counsel of </w:t>
      </w:r>
      <w:r w:rsidR="00876664">
        <w:rPr>
          <w:szCs w:val="24"/>
          <w:lang w:eastAsia="en-GB"/>
        </w:rPr>
        <w:t>the SO addressee</w:t>
      </w:r>
      <w:r w:rsidRPr="003D6A87">
        <w:rPr>
          <w:szCs w:val="24"/>
          <w:lang w:eastAsia="en-GB"/>
        </w:rPr>
        <w:t xml:space="preserve"> and persons under the direction, control or supervision of the external counsel. It may include certain agreed representatives of the </w:t>
      </w:r>
      <w:r w:rsidR="00876664">
        <w:rPr>
          <w:szCs w:val="24"/>
          <w:lang w:eastAsia="en-GB"/>
        </w:rPr>
        <w:t>SO addressee</w:t>
      </w:r>
      <w:r w:rsidR="00876664" w:rsidRPr="003D6A87">
        <w:rPr>
          <w:szCs w:val="24"/>
          <w:lang w:eastAsia="en-GB"/>
        </w:rPr>
        <w:t xml:space="preserve"> </w:t>
      </w:r>
      <w:r w:rsidRPr="003D6A87">
        <w:rPr>
          <w:szCs w:val="24"/>
          <w:lang w:eastAsia="en-GB"/>
        </w:rPr>
        <w:t xml:space="preserve">or economic advisers. The members of the confidentiality ring </w:t>
      </w:r>
      <w:r>
        <w:rPr>
          <w:szCs w:val="24"/>
          <w:lang w:eastAsia="en-GB"/>
        </w:rPr>
        <w:t>will be</w:t>
      </w:r>
      <w:r w:rsidRPr="003D6A87">
        <w:rPr>
          <w:szCs w:val="24"/>
          <w:lang w:eastAsia="en-GB"/>
        </w:rPr>
        <w:t xml:space="preserve"> listed in an enclosure to the </w:t>
      </w:r>
      <w:r w:rsidR="00B83551">
        <w:rPr>
          <w:szCs w:val="24"/>
          <w:lang w:eastAsia="en-GB"/>
        </w:rPr>
        <w:t>negotiated disclosure agreement</w:t>
      </w:r>
      <w:r w:rsidR="00FB2F90">
        <w:rPr>
          <w:szCs w:val="24"/>
          <w:lang w:eastAsia="en-GB"/>
        </w:rPr>
        <w:t xml:space="preserve"> and must sign an appropriate undertaking to respect confidentiality</w:t>
      </w:r>
      <w:r w:rsidRPr="003D6A87">
        <w:rPr>
          <w:szCs w:val="24"/>
          <w:lang w:eastAsia="en-GB"/>
        </w:rPr>
        <w:t>.</w:t>
      </w:r>
    </w:p>
    <w:p w14:paraId="3E67BE0B" w14:textId="77777777" w:rsidR="003D6A87" w:rsidRPr="003D6A87" w:rsidRDefault="003D6A87">
      <w:pPr>
        <w:pStyle w:val="Heading1"/>
        <w:rPr>
          <w:b w:val="0"/>
          <w:kern w:val="32"/>
          <w:szCs w:val="24"/>
          <w:lang w:eastAsia="en-GB"/>
        </w:rPr>
      </w:pPr>
      <w:r w:rsidRPr="003D6A87">
        <w:rPr>
          <w:kern w:val="32"/>
          <w:szCs w:val="24"/>
          <w:lang w:eastAsia="en-GB"/>
        </w:rPr>
        <w:t xml:space="preserve">Types of negotiated disclosure facilitated by DG Competition </w:t>
      </w:r>
    </w:p>
    <w:p w14:paraId="702D4717" w14:textId="77777777" w:rsidR="003D6A87" w:rsidRPr="003D6A87" w:rsidRDefault="003D6A87">
      <w:pPr>
        <w:pStyle w:val="ListNumber"/>
        <w:numPr>
          <w:ilvl w:val="0"/>
          <w:numId w:val="22"/>
        </w:numPr>
        <w:rPr>
          <w:szCs w:val="24"/>
          <w:lang w:eastAsia="en-GB"/>
        </w:rPr>
      </w:pPr>
      <w:r w:rsidRPr="003D6A87">
        <w:rPr>
          <w:szCs w:val="24"/>
          <w:lang w:eastAsia="en-GB"/>
        </w:rPr>
        <w:t xml:space="preserve">So far, DG Competition has used two types of confidentiality rings: </w:t>
      </w:r>
    </w:p>
    <w:p w14:paraId="140D3AA3" w14:textId="1596599E" w:rsidR="003D6A87" w:rsidRPr="003D6A87" w:rsidRDefault="003D6A87">
      <w:pPr>
        <w:numPr>
          <w:ilvl w:val="0"/>
          <w:numId w:val="20"/>
        </w:numPr>
        <w:spacing w:after="0"/>
        <w:rPr>
          <w:szCs w:val="24"/>
          <w:lang w:eastAsia="en-GB"/>
        </w:rPr>
      </w:pPr>
      <w:r w:rsidRPr="003D6A87">
        <w:rPr>
          <w:szCs w:val="24"/>
          <w:lang w:eastAsia="en-GB"/>
        </w:rPr>
        <w:t xml:space="preserve">A confidentiality ring whereby the </w:t>
      </w:r>
      <w:r w:rsidR="00876664">
        <w:rPr>
          <w:szCs w:val="24"/>
          <w:lang w:eastAsia="en-GB"/>
        </w:rPr>
        <w:t>external counsel</w:t>
      </w:r>
      <w:r w:rsidRPr="003D6A87">
        <w:rPr>
          <w:szCs w:val="24"/>
          <w:lang w:eastAsia="en-GB"/>
        </w:rPr>
        <w:t xml:space="preserve"> selects from the documents included in the ring only those documents that are considered potentially exculpatory. For these documents a non-confidential version is prepared by the information provider that can be shared with the </w:t>
      </w:r>
      <w:r w:rsidR="00876664">
        <w:rPr>
          <w:szCs w:val="24"/>
          <w:lang w:eastAsia="en-GB"/>
        </w:rPr>
        <w:t>SO addressee</w:t>
      </w:r>
      <w:r w:rsidR="00876664" w:rsidRPr="003D6A87">
        <w:rPr>
          <w:szCs w:val="24"/>
          <w:lang w:eastAsia="en-GB"/>
        </w:rPr>
        <w:t xml:space="preserve"> </w:t>
      </w:r>
      <w:r w:rsidRPr="003D6A87">
        <w:rPr>
          <w:szCs w:val="24"/>
          <w:lang w:eastAsia="en-GB"/>
        </w:rPr>
        <w:t>(client access). The non-confidential versions can also be used in the reply to the SO, the Oral Hearing and in possible further Court submissions.</w:t>
      </w:r>
    </w:p>
    <w:p w14:paraId="5A8F4DAA" w14:textId="77777777" w:rsidR="003D6A87" w:rsidRPr="003D6A87" w:rsidRDefault="003D6A87">
      <w:pPr>
        <w:spacing w:after="0"/>
        <w:ind w:left="1440"/>
        <w:rPr>
          <w:szCs w:val="24"/>
          <w:lang w:eastAsia="en-GB"/>
        </w:rPr>
      </w:pPr>
    </w:p>
    <w:p w14:paraId="46A3536A" w14:textId="75C1436C" w:rsidR="003D6A87" w:rsidRPr="003D6A87" w:rsidRDefault="003D6A87">
      <w:pPr>
        <w:numPr>
          <w:ilvl w:val="0"/>
          <w:numId w:val="20"/>
        </w:numPr>
        <w:spacing w:after="0"/>
        <w:rPr>
          <w:szCs w:val="24"/>
          <w:lang w:eastAsia="en-GB"/>
        </w:rPr>
      </w:pPr>
      <w:r w:rsidRPr="003D6A87">
        <w:rPr>
          <w:szCs w:val="24"/>
          <w:lang w:eastAsia="en-GB"/>
        </w:rPr>
        <w:t xml:space="preserve">A confidentiality ring whereby </w:t>
      </w:r>
      <w:r w:rsidR="00ED4755" w:rsidRPr="003D6A87">
        <w:rPr>
          <w:szCs w:val="24"/>
          <w:lang w:eastAsia="en-GB"/>
        </w:rPr>
        <w:t xml:space="preserve">the external counsel of an </w:t>
      </w:r>
      <w:r w:rsidR="00876664">
        <w:rPr>
          <w:szCs w:val="24"/>
          <w:lang w:eastAsia="en-GB"/>
        </w:rPr>
        <w:t xml:space="preserve">SO </w:t>
      </w:r>
      <w:r w:rsidR="00ED4755" w:rsidRPr="003D6A87">
        <w:rPr>
          <w:szCs w:val="24"/>
          <w:lang w:eastAsia="en-GB"/>
        </w:rPr>
        <w:t>addressee selects from the documents included in the ring those documents that are considered potentially exculpatory</w:t>
      </w:r>
      <w:r w:rsidR="00ED4755">
        <w:rPr>
          <w:szCs w:val="24"/>
          <w:lang w:eastAsia="en-GB"/>
        </w:rPr>
        <w:t xml:space="preserve"> but n</w:t>
      </w:r>
      <w:r w:rsidRPr="003D6A87">
        <w:rPr>
          <w:szCs w:val="24"/>
          <w:lang w:eastAsia="en-GB"/>
        </w:rPr>
        <w:t xml:space="preserve">o non-confidential versions are prepared of </w:t>
      </w:r>
      <w:r w:rsidR="00ED4755">
        <w:rPr>
          <w:szCs w:val="24"/>
          <w:lang w:eastAsia="en-GB"/>
        </w:rPr>
        <w:t>these</w:t>
      </w:r>
      <w:r w:rsidRPr="003D6A87">
        <w:rPr>
          <w:szCs w:val="24"/>
          <w:lang w:eastAsia="en-GB"/>
        </w:rPr>
        <w:t xml:space="preserve"> documents</w:t>
      </w:r>
      <w:r w:rsidR="00E21BD0">
        <w:rPr>
          <w:szCs w:val="24"/>
          <w:lang w:eastAsia="en-GB"/>
        </w:rPr>
        <w:t>.</w:t>
      </w:r>
      <w:r w:rsidRPr="003D6A87">
        <w:rPr>
          <w:szCs w:val="24"/>
          <w:lang w:eastAsia="en-GB"/>
        </w:rPr>
        <w:t xml:space="preserve"> In this case, special arrangements will be sought to protect the confidential nature of the information from disclosure to the </w:t>
      </w:r>
      <w:r w:rsidR="00876664">
        <w:rPr>
          <w:szCs w:val="24"/>
          <w:lang w:eastAsia="en-GB"/>
        </w:rPr>
        <w:t xml:space="preserve">SO </w:t>
      </w:r>
      <w:r w:rsidRPr="003D6A87">
        <w:rPr>
          <w:szCs w:val="24"/>
          <w:lang w:eastAsia="en-GB"/>
        </w:rPr>
        <w:t xml:space="preserve">addressee and others in the reply to SO, the Oral Hearing as well as in possible further Court submissions. </w:t>
      </w:r>
      <w:r w:rsidR="00ED4755">
        <w:rPr>
          <w:szCs w:val="24"/>
          <w:lang w:eastAsia="en-GB"/>
        </w:rPr>
        <w:t>An optional clause may provide</w:t>
      </w:r>
      <w:r w:rsidRPr="003D6A87">
        <w:rPr>
          <w:szCs w:val="24"/>
          <w:lang w:eastAsia="en-GB"/>
        </w:rPr>
        <w:t xml:space="preserve"> a possibility for the external counsel to apply for client access for some of the information</w:t>
      </w:r>
      <w:r w:rsidR="00ED4755">
        <w:rPr>
          <w:szCs w:val="24"/>
          <w:lang w:eastAsia="en-GB"/>
        </w:rPr>
        <w:t xml:space="preserve"> if required by the rights of defence</w:t>
      </w:r>
      <w:r w:rsidRPr="003D6A87">
        <w:rPr>
          <w:szCs w:val="24"/>
          <w:lang w:eastAsia="en-GB"/>
        </w:rPr>
        <w:t>.</w:t>
      </w:r>
    </w:p>
    <w:bookmarkEnd w:id="2"/>
    <w:bookmarkEnd w:id="3"/>
    <w:bookmarkEnd w:id="4"/>
    <w:bookmarkEnd w:id="5"/>
    <w:p w14:paraId="02C3EF7D" w14:textId="77777777" w:rsidR="003D6A87" w:rsidRPr="003D6A87" w:rsidRDefault="003D6A87">
      <w:pPr>
        <w:spacing w:after="120"/>
        <w:contextualSpacing/>
        <w:rPr>
          <w:szCs w:val="24"/>
          <w:lang w:eastAsia="en-GB"/>
        </w:rPr>
      </w:pPr>
    </w:p>
    <w:p w14:paraId="31C74A0E" w14:textId="6D5ED8AD" w:rsidR="003D6A87" w:rsidRPr="003D6A87" w:rsidRDefault="003D6A87">
      <w:pPr>
        <w:pStyle w:val="ListNumber"/>
        <w:numPr>
          <w:ilvl w:val="0"/>
          <w:numId w:val="22"/>
        </w:numPr>
        <w:rPr>
          <w:szCs w:val="24"/>
          <w:lang w:eastAsia="en-GB"/>
        </w:rPr>
      </w:pPr>
      <w:r w:rsidRPr="003D6A87">
        <w:rPr>
          <w:szCs w:val="24"/>
          <w:lang w:eastAsia="en-GB"/>
        </w:rPr>
        <w:t xml:space="preserve">Details on both options are included in the </w:t>
      </w:r>
      <w:r w:rsidR="00876664">
        <w:rPr>
          <w:szCs w:val="24"/>
          <w:lang w:eastAsia="en-GB"/>
        </w:rPr>
        <w:t>t</w:t>
      </w:r>
      <w:r w:rsidR="0082244E">
        <w:rPr>
          <w:szCs w:val="24"/>
          <w:lang w:eastAsia="en-GB"/>
        </w:rPr>
        <w:t xml:space="preserve">emplate </w:t>
      </w:r>
      <w:r w:rsidR="00876664">
        <w:rPr>
          <w:szCs w:val="24"/>
          <w:lang w:eastAsia="en-GB"/>
        </w:rPr>
        <w:t>n</w:t>
      </w:r>
      <w:r w:rsidRPr="003D6A87">
        <w:rPr>
          <w:szCs w:val="24"/>
          <w:lang w:eastAsia="en-GB"/>
        </w:rPr>
        <w:t xml:space="preserve">egotiated </w:t>
      </w:r>
      <w:r w:rsidR="00876664">
        <w:rPr>
          <w:szCs w:val="24"/>
          <w:lang w:eastAsia="en-GB"/>
        </w:rPr>
        <w:t>d</w:t>
      </w:r>
      <w:r w:rsidRPr="003D6A87">
        <w:rPr>
          <w:szCs w:val="24"/>
          <w:lang w:eastAsia="en-GB"/>
        </w:rPr>
        <w:t xml:space="preserve">isclosure </w:t>
      </w:r>
      <w:r w:rsidR="00876664">
        <w:rPr>
          <w:szCs w:val="24"/>
          <w:lang w:eastAsia="en-GB"/>
        </w:rPr>
        <w:t>a</w:t>
      </w:r>
      <w:r w:rsidRPr="003D6A87">
        <w:rPr>
          <w:szCs w:val="24"/>
          <w:lang w:eastAsia="en-GB"/>
        </w:rPr>
        <w:t>greement and can be further negotiated between the information provider, the</w:t>
      </w:r>
      <w:r w:rsidR="00876664">
        <w:rPr>
          <w:szCs w:val="24"/>
          <w:lang w:eastAsia="en-GB"/>
        </w:rPr>
        <w:t xml:space="preserve"> SO</w:t>
      </w:r>
      <w:r w:rsidRPr="003D6A87">
        <w:rPr>
          <w:szCs w:val="24"/>
          <w:lang w:eastAsia="en-GB"/>
        </w:rPr>
        <w:t xml:space="preserve"> addressee and DG Competition.</w:t>
      </w:r>
    </w:p>
    <w:p w14:paraId="4570C50B" w14:textId="4C1C30D7" w:rsidR="003D6A87" w:rsidRPr="003D6A87" w:rsidRDefault="004D36E7">
      <w:pPr>
        <w:pStyle w:val="Heading1"/>
        <w:rPr>
          <w:b w:val="0"/>
          <w:bCs/>
          <w:kern w:val="32"/>
          <w:szCs w:val="24"/>
          <w:lang w:eastAsia="en-GB"/>
        </w:rPr>
      </w:pPr>
      <w:r w:rsidRPr="006B19D4">
        <w:rPr>
          <w:kern w:val="32"/>
          <w:szCs w:val="24"/>
          <w:lang w:eastAsia="en-GB"/>
        </w:rPr>
        <w:t>The</w:t>
      </w:r>
      <w:r>
        <w:rPr>
          <w:bCs/>
          <w:kern w:val="32"/>
          <w:szCs w:val="24"/>
          <w:lang w:eastAsia="en-GB"/>
        </w:rPr>
        <w:t xml:space="preserve"> r</w:t>
      </w:r>
      <w:r w:rsidR="003D6A87" w:rsidRPr="003D6A87">
        <w:rPr>
          <w:bCs/>
          <w:kern w:val="32"/>
          <w:szCs w:val="24"/>
          <w:lang w:eastAsia="en-GB"/>
        </w:rPr>
        <w:t>ole of the Hearing Officer</w:t>
      </w:r>
    </w:p>
    <w:p w14:paraId="57947B6E" w14:textId="6AAB5E74" w:rsidR="003D6A87" w:rsidRPr="00112039" w:rsidRDefault="005E42FB">
      <w:pPr>
        <w:pStyle w:val="ListNumber"/>
        <w:numPr>
          <w:ilvl w:val="0"/>
          <w:numId w:val="22"/>
        </w:numPr>
        <w:rPr>
          <w:szCs w:val="24"/>
          <w:lang w:eastAsia="en-GB"/>
        </w:rPr>
      </w:pPr>
      <w:r w:rsidRPr="0089009B">
        <w:rPr>
          <w:szCs w:val="24"/>
          <w:lang w:eastAsia="en-GB"/>
        </w:rPr>
        <w:t>If an</w:t>
      </w:r>
      <w:r w:rsidR="00876664">
        <w:rPr>
          <w:szCs w:val="24"/>
          <w:lang w:eastAsia="en-GB"/>
        </w:rPr>
        <w:t xml:space="preserve"> SO</w:t>
      </w:r>
      <w:r w:rsidRPr="0089009B">
        <w:rPr>
          <w:szCs w:val="24"/>
          <w:lang w:eastAsia="en-GB"/>
        </w:rPr>
        <w:t xml:space="preserve"> addressee considers that further access to file is necessary for the proper exercise of its right to be heard and the issue cannot be resolved with DG Competition, t</w:t>
      </w:r>
      <w:r w:rsidRPr="00112039">
        <w:rPr>
          <w:szCs w:val="24"/>
          <w:lang w:eastAsia="en-GB"/>
        </w:rPr>
        <w:t xml:space="preserve">hat </w:t>
      </w:r>
      <w:r w:rsidR="00876664">
        <w:rPr>
          <w:szCs w:val="24"/>
          <w:lang w:eastAsia="en-GB"/>
        </w:rPr>
        <w:t xml:space="preserve">SO </w:t>
      </w:r>
      <w:r w:rsidRPr="00112039">
        <w:rPr>
          <w:szCs w:val="24"/>
          <w:lang w:eastAsia="en-GB"/>
        </w:rPr>
        <w:t>addressee may refer the matter to the Hearing Officer under Article 7 of the Hearing Officer’s Terms of Reference.</w:t>
      </w:r>
      <w:r w:rsidR="003D6A87" w:rsidRPr="0089009B">
        <w:rPr>
          <w:szCs w:val="24"/>
          <w:vertAlign w:val="superscript"/>
          <w:lang w:eastAsia="en-GB"/>
        </w:rPr>
        <w:footnoteReference w:id="8"/>
      </w:r>
      <w:r w:rsidR="003D6A87" w:rsidRPr="006E20DF">
        <w:rPr>
          <w:szCs w:val="24"/>
          <w:lang w:eastAsia="en-GB"/>
        </w:rPr>
        <w:t xml:space="preserve"> </w:t>
      </w:r>
    </w:p>
    <w:p w14:paraId="48D86257" w14:textId="5D82F692" w:rsidR="005E42FB" w:rsidRDefault="005E42FB">
      <w:pPr>
        <w:pStyle w:val="ListNumber"/>
        <w:numPr>
          <w:ilvl w:val="0"/>
          <w:numId w:val="22"/>
        </w:numPr>
        <w:rPr>
          <w:szCs w:val="24"/>
          <w:lang w:eastAsia="en-GB"/>
        </w:rPr>
      </w:pPr>
      <w:r w:rsidRPr="005E42FB">
        <w:rPr>
          <w:szCs w:val="24"/>
          <w:lang w:eastAsia="en-GB"/>
        </w:rPr>
        <w:t xml:space="preserve">If the Commission intends to disclose information </w:t>
      </w:r>
      <w:r>
        <w:rPr>
          <w:szCs w:val="24"/>
          <w:lang w:eastAsia="en-GB"/>
        </w:rPr>
        <w:t>the</w:t>
      </w:r>
      <w:r w:rsidRPr="005E42FB">
        <w:rPr>
          <w:szCs w:val="24"/>
          <w:lang w:eastAsia="en-GB"/>
        </w:rPr>
        <w:t xml:space="preserve"> </w:t>
      </w:r>
      <w:r>
        <w:rPr>
          <w:szCs w:val="24"/>
          <w:lang w:eastAsia="en-GB"/>
        </w:rPr>
        <w:t xml:space="preserve">information </w:t>
      </w:r>
      <w:r w:rsidRPr="005E42FB">
        <w:rPr>
          <w:szCs w:val="24"/>
          <w:lang w:eastAsia="en-GB"/>
        </w:rPr>
        <w:t>provider considers confidential, DG Competition must inform th</w:t>
      </w:r>
      <w:r>
        <w:rPr>
          <w:szCs w:val="24"/>
          <w:lang w:eastAsia="en-GB"/>
        </w:rPr>
        <w:t>e information</w:t>
      </w:r>
      <w:r w:rsidRPr="005E42FB">
        <w:rPr>
          <w:szCs w:val="24"/>
          <w:lang w:eastAsia="en-GB"/>
        </w:rPr>
        <w:t xml:space="preserve"> provider of the reasons for that intention and invite the </w:t>
      </w:r>
      <w:r>
        <w:rPr>
          <w:szCs w:val="24"/>
          <w:lang w:eastAsia="en-GB"/>
        </w:rPr>
        <w:t xml:space="preserve">information </w:t>
      </w:r>
      <w:r w:rsidRPr="005E42FB">
        <w:rPr>
          <w:szCs w:val="24"/>
          <w:lang w:eastAsia="en-GB"/>
        </w:rPr>
        <w:t xml:space="preserve">provider’s comments. Where the </w:t>
      </w:r>
      <w:r>
        <w:rPr>
          <w:szCs w:val="24"/>
          <w:lang w:eastAsia="en-GB"/>
        </w:rPr>
        <w:t xml:space="preserve">information </w:t>
      </w:r>
      <w:r w:rsidRPr="005E42FB">
        <w:rPr>
          <w:szCs w:val="24"/>
          <w:lang w:eastAsia="en-GB"/>
        </w:rPr>
        <w:t xml:space="preserve">provider objects to the planned disclosure, it can refer the matter to the Hearing Officer under Article 8 of the Hearing Officer's Terms of Reference. Where appropriate, the Hearing Officer may decide that the information concerned may be made accessible in a restricted manner to the </w:t>
      </w:r>
      <w:r w:rsidR="00876664">
        <w:rPr>
          <w:szCs w:val="24"/>
          <w:lang w:eastAsia="en-GB"/>
        </w:rPr>
        <w:t>SO addressee</w:t>
      </w:r>
      <w:r w:rsidR="00876664" w:rsidRPr="005E42FB">
        <w:rPr>
          <w:szCs w:val="24"/>
          <w:lang w:eastAsia="en-GB"/>
        </w:rPr>
        <w:t xml:space="preserve"> </w:t>
      </w:r>
      <w:r w:rsidRPr="005E42FB">
        <w:rPr>
          <w:szCs w:val="24"/>
          <w:lang w:eastAsia="en-GB"/>
        </w:rPr>
        <w:t xml:space="preserve">requesting access. </w:t>
      </w:r>
    </w:p>
    <w:p w14:paraId="352A16BC" w14:textId="2AB6E9C3" w:rsidR="0082244E" w:rsidRPr="003D6A87" w:rsidRDefault="0082244E" w:rsidP="00726323">
      <w:pPr>
        <w:pStyle w:val="ListNumber"/>
        <w:ind w:left="360"/>
        <w:rPr>
          <w:szCs w:val="24"/>
          <w:lang w:eastAsia="en-GB"/>
        </w:rPr>
      </w:pPr>
      <w:r>
        <w:rPr>
          <w:szCs w:val="24"/>
          <w:lang w:eastAsia="en-GB"/>
        </w:rPr>
        <w:t>***</w:t>
      </w:r>
    </w:p>
    <w:p w14:paraId="7BD85461" w14:textId="77777777" w:rsidR="0082244E" w:rsidRDefault="0082244E" w:rsidP="00726323">
      <w:pPr>
        <w:spacing w:after="0"/>
        <w:ind w:firstLine="360"/>
      </w:pPr>
    </w:p>
    <w:p w14:paraId="580838EA" w14:textId="6EB39E99" w:rsidR="003D6A87" w:rsidRPr="0082244E" w:rsidRDefault="0082244E" w:rsidP="00726323">
      <w:pPr>
        <w:spacing w:after="0"/>
        <w:ind w:firstLine="360"/>
        <w:rPr>
          <w:b/>
          <w:kern w:val="28"/>
          <w:sz w:val="48"/>
          <w:u w:val="single"/>
        </w:rPr>
      </w:pPr>
      <w:r w:rsidRPr="0082244E">
        <w:rPr>
          <w:b/>
        </w:rPr>
        <w:t xml:space="preserve">Annex 1 </w:t>
      </w:r>
      <w:r w:rsidRPr="0082244E">
        <w:rPr>
          <w:b/>
        </w:rPr>
        <w:tab/>
        <w:t>Template Negotiated Disclosure Agreement</w:t>
      </w:r>
      <w:r w:rsidRPr="0082244E">
        <w:rPr>
          <w:b/>
          <w:u w:val="single"/>
        </w:rPr>
        <w:t xml:space="preserve"> </w:t>
      </w:r>
      <w:r w:rsidR="003D6A87" w:rsidRPr="0082244E">
        <w:rPr>
          <w:b/>
          <w:u w:val="single"/>
        </w:rPr>
        <w:br w:type="page"/>
      </w:r>
    </w:p>
    <w:p w14:paraId="79C0DC3F" w14:textId="21E009D8" w:rsidR="004B1EF2" w:rsidRPr="0082244E" w:rsidRDefault="003D6A87" w:rsidP="00726323">
      <w:pPr>
        <w:pStyle w:val="Title"/>
        <w:jc w:val="both"/>
        <w:rPr>
          <w:sz w:val="24"/>
        </w:rPr>
      </w:pPr>
      <w:r w:rsidRPr="0082244E">
        <w:rPr>
          <w:sz w:val="24"/>
        </w:rPr>
        <w:t xml:space="preserve">Annex </w:t>
      </w:r>
      <w:r w:rsidR="0082244E" w:rsidRPr="0082244E">
        <w:rPr>
          <w:sz w:val="24"/>
        </w:rPr>
        <w:t>1</w:t>
      </w:r>
      <w:r w:rsidRPr="0082244E">
        <w:rPr>
          <w:sz w:val="24"/>
        </w:rPr>
        <w:t xml:space="preserve">: Template Negotiated Disclosure </w:t>
      </w:r>
      <w:r w:rsidR="004D36E7" w:rsidRPr="0082244E">
        <w:rPr>
          <w:sz w:val="24"/>
        </w:rPr>
        <w:t>A</w:t>
      </w:r>
      <w:r w:rsidRPr="0082244E">
        <w:rPr>
          <w:sz w:val="24"/>
        </w:rPr>
        <w:t>greement</w:t>
      </w:r>
    </w:p>
    <w:p w14:paraId="78DAC81A" w14:textId="77777777" w:rsidR="003D6A87" w:rsidRPr="003D6A87" w:rsidRDefault="003D6A87" w:rsidP="00726323">
      <w:pPr>
        <w:pBdr>
          <w:top w:val="single" w:sz="4" w:space="1" w:color="auto"/>
          <w:left w:val="single" w:sz="4" w:space="4" w:color="auto"/>
          <w:bottom w:val="single" w:sz="4" w:space="1" w:color="auto"/>
          <w:right w:val="single" w:sz="4" w:space="4" w:color="auto"/>
        </w:pBdr>
        <w:spacing w:after="0" w:line="276" w:lineRule="auto"/>
        <w:rPr>
          <w:b/>
          <w:szCs w:val="24"/>
          <w:lang w:eastAsia="en-GB"/>
        </w:rPr>
      </w:pPr>
      <w:r w:rsidRPr="003D6A87">
        <w:rPr>
          <w:b/>
          <w:szCs w:val="24"/>
          <w:lang w:eastAsia="en-GB"/>
        </w:rPr>
        <w:t>TEMPLATE FOR NEGOTIATED DISCLOSURE/CONFIDENTIALITY RING</w:t>
      </w:r>
    </w:p>
    <w:p w14:paraId="7C3B9789" w14:textId="77777777" w:rsidR="003D6A87" w:rsidRPr="003D6A87" w:rsidRDefault="003D6A87">
      <w:pPr>
        <w:spacing w:after="0" w:line="276" w:lineRule="auto"/>
        <w:rPr>
          <w:i/>
          <w:szCs w:val="24"/>
          <w:lang w:eastAsia="en-GB"/>
        </w:rPr>
      </w:pPr>
    </w:p>
    <w:p w14:paraId="153159FC" w14:textId="77777777" w:rsidR="003D6A87" w:rsidRPr="003D6A87" w:rsidRDefault="003D6A87">
      <w:pPr>
        <w:spacing w:after="200" w:line="276" w:lineRule="auto"/>
        <w:rPr>
          <w:szCs w:val="24"/>
          <w:lang w:eastAsia="en-GB"/>
        </w:rPr>
      </w:pPr>
      <w:r w:rsidRPr="003D6A87">
        <w:rPr>
          <w:szCs w:val="24"/>
          <w:lang w:eastAsia="en-GB"/>
        </w:rPr>
        <w:t>[</w:t>
      </w:r>
      <w:r w:rsidRPr="003D6A87">
        <w:rPr>
          <w:szCs w:val="24"/>
          <w:highlight w:val="yellow"/>
          <w:lang w:eastAsia="en-GB"/>
        </w:rPr>
        <w:t>NAME SO ADDRESSEE</w:t>
      </w:r>
      <w:r w:rsidRPr="003D6A87">
        <w:rPr>
          <w:szCs w:val="24"/>
          <w:lang w:eastAsia="en-GB"/>
        </w:rPr>
        <w:t>], a [</w:t>
      </w:r>
      <w:r w:rsidRPr="003D6A87">
        <w:rPr>
          <w:szCs w:val="24"/>
          <w:highlight w:val="yellow"/>
          <w:lang w:eastAsia="en-GB"/>
        </w:rPr>
        <w:t>PLACE OF ESTABLISHMENT</w:t>
      </w:r>
      <w:r w:rsidRPr="003D6A87">
        <w:rPr>
          <w:szCs w:val="24"/>
          <w:lang w:eastAsia="en-GB"/>
        </w:rPr>
        <w:t>] corporation, with its principal place of business at [</w:t>
      </w:r>
      <w:r w:rsidRPr="003D6A87">
        <w:rPr>
          <w:szCs w:val="24"/>
          <w:highlight w:val="yellow"/>
          <w:lang w:eastAsia="en-GB"/>
        </w:rPr>
        <w:t>ADDRESS</w:t>
      </w:r>
      <w:r w:rsidRPr="003D6A87">
        <w:rPr>
          <w:szCs w:val="24"/>
          <w:lang w:eastAsia="en-GB"/>
        </w:rPr>
        <w:t>], duly represented by [</w:t>
      </w:r>
      <w:r w:rsidRPr="003D6A87">
        <w:rPr>
          <w:szCs w:val="24"/>
          <w:highlight w:val="yellow"/>
          <w:lang w:eastAsia="en-GB"/>
        </w:rPr>
        <w:t>AUTHORIZED REPRESENTATIVE</w:t>
      </w:r>
      <w:r w:rsidRPr="003D6A87">
        <w:rPr>
          <w:szCs w:val="24"/>
          <w:lang w:eastAsia="en-GB"/>
        </w:rPr>
        <w:t>] ("</w:t>
      </w:r>
      <w:r w:rsidRPr="003D6A87">
        <w:rPr>
          <w:b/>
          <w:szCs w:val="24"/>
          <w:lang w:eastAsia="en-GB"/>
        </w:rPr>
        <w:t>NAME")</w:t>
      </w:r>
      <w:r w:rsidRPr="003D6A87">
        <w:rPr>
          <w:szCs w:val="24"/>
          <w:lang w:eastAsia="en-GB"/>
        </w:rPr>
        <w:t>; and</w:t>
      </w:r>
    </w:p>
    <w:p w14:paraId="2155CBBA" w14:textId="480C510B" w:rsidR="003D6A87" w:rsidRPr="003D6A87" w:rsidRDefault="003D6A87">
      <w:pPr>
        <w:spacing w:after="200" w:line="276" w:lineRule="auto"/>
        <w:rPr>
          <w:b/>
          <w:szCs w:val="24"/>
          <w:lang w:eastAsia="en-GB"/>
        </w:rPr>
      </w:pPr>
      <w:r w:rsidRPr="003D6A87">
        <w:rPr>
          <w:szCs w:val="24"/>
          <w:lang w:eastAsia="en-GB"/>
        </w:rPr>
        <w:t>[</w:t>
      </w:r>
      <w:r w:rsidRPr="003D6A87">
        <w:rPr>
          <w:szCs w:val="24"/>
          <w:highlight w:val="yellow"/>
          <w:lang w:eastAsia="en-GB"/>
        </w:rPr>
        <w:t xml:space="preserve">NAME </w:t>
      </w:r>
      <w:r w:rsidR="00E926CE">
        <w:rPr>
          <w:szCs w:val="24"/>
          <w:highlight w:val="yellow"/>
          <w:lang w:eastAsia="en-GB"/>
        </w:rPr>
        <w:t>INFORMATION PROVIDER</w:t>
      </w:r>
      <w:r w:rsidRPr="003D6A87">
        <w:rPr>
          <w:szCs w:val="24"/>
          <w:lang w:eastAsia="en-GB"/>
        </w:rPr>
        <w:t>], an [</w:t>
      </w:r>
      <w:r w:rsidRPr="003D6A87">
        <w:rPr>
          <w:szCs w:val="24"/>
          <w:highlight w:val="yellow"/>
          <w:lang w:eastAsia="en-GB"/>
        </w:rPr>
        <w:t>PLACE OF ESTABLISHMENT</w:t>
      </w:r>
      <w:r w:rsidRPr="003D6A87">
        <w:rPr>
          <w:szCs w:val="24"/>
          <w:lang w:eastAsia="en-GB"/>
        </w:rPr>
        <w:t>] corporation, with its principal place of business at [</w:t>
      </w:r>
      <w:r w:rsidRPr="003D6A87">
        <w:rPr>
          <w:szCs w:val="24"/>
          <w:highlight w:val="yellow"/>
          <w:lang w:eastAsia="en-GB"/>
        </w:rPr>
        <w:t>ADDRESS</w:t>
      </w:r>
      <w:r w:rsidRPr="003D6A87">
        <w:rPr>
          <w:szCs w:val="24"/>
          <w:lang w:eastAsia="en-GB"/>
        </w:rPr>
        <w:t>], duly represented by [</w:t>
      </w:r>
      <w:r w:rsidRPr="003D6A87">
        <w:rPr>
          <w:szCs w:val="24"/>
          <w:highlight w:val="yellow"/>
          <w:lang w:eastAsia="en-GB"/>
        </w:rPr>
        <w:t>AUTHORIZED REPRESENTATIVE</w:t>
      </w:r>
      <w:r w:rsidRPr="003D6A87">
        <w:rPr>
          <w:szCs w:val="24"/>
          <w:lang w:eastAsia="en-GB"/>
        </w:rPr>
        <w:t>] (the "</w:t>
      </w:r>
      <w:r w:rsidR="00E926CE">
        <w:rPr>
          <w:b/>
          <w:szCs w:val="24"/>
          <w:lang w:eastAsia="en-GB"/>
        </w:rPr>
        <w:t>Information Provider</w:t>
      </w:r>
      <w:r w:rsidRPr="003D6A87">
        <w:rPr>
          <w:b/>
          <w:szCs w:val="24"/>
          <w:lang w:eastAsia="en-GB"/>
        </w:rPr>
        <w:t>")</w:t>
      </w:r>
    </w:p>
    <w:p w14:paraId="7375545E" w14:textId="77777777" w:rsidR="003D6A87" w:rsidRPr="003D6A87" w:rsidRDefault="003D6A87">
      <w:pPr>
        <w:spacing w:after="200" w:line="276" w:lineRule="auto"/>
        <w:rPr>
          <w:szCs w:val="24"/>
          <w:lang w:eastAsia="en-GB"/>
        </w:rPr>
      </w:pPr>
      <w:r w:rsidRPr="003D6A87">
        <w:rPr>
          <w:szCs w:val="24"/>
          <w:lang w:eastAsia="en-GB"/>
        </w:rPr>
        <w:t>(together: the "</w:t>
      </w:r>
      <w:r w:rsidRPr="003D6A87">
        <w:rPr>
          <w:b/>
          <w:szCs w:val="24"/>
          <w:lang w:eastAsia="en-GB"/>
        </w:rPr>
        <w:t>Parties</w:t>
      </w:r>
      <w:r w:rsidRPr="003D6A87">
        <w:rPr>
          <w:szCs w:val="24"/>
          <w:lang w:eastAsia="en-GB"/>
        </w:rPr>
        <w:t>")</w:t>
      </w:r>
    </w:p>
    <w:p w14:paraId="77328405" w14:textId="77777777" w:rsidR="003D6A87" w:rsidRPr="003D6A87" w:rsidRDefault="003D6A87">
      <w:pPr>
        <w:spacing w:after="200" w:line="276" w:lineRule="auto"/>
        <w:rPr>
          <w:szCs w:val="24"/>
          <w:lang w:eastAsia="en-GB"/>
        </w:rPr>
      </w:pPr>
      <w:r w:rsidRPr="003D6A87">
        <w:rPr>
          <w:szCs w:val="24"/>
          <w:lang w:eastAsia="en-GB"/>
        </w:rPr>
        <w:t>On [</w:t>
      </w:r>
      <w:r w:rsidRPr="003D6A87">
        <w:rPr>
          <w:szCs w:val="24"/>
          <w:highlight w:val="yellow"/>
          <w:lang w:eastAsia="en-GB"/>
        </w:rPr>
        <w:t>DATE</w:t>
      </w:r>
      <w:r w:rsidRPr="003D6A87">
        <w:rPr>
          <w:szCs w:val="24"/>
          <w:lang w:eastAsia="en-GB"/>
        </w:rPr>
        <w:t>] entered into this</w:t>
      </w:r>
    </w:p>
    <w:p w14:paraId="67FFA6FB" w14:textId="77777777" w:rsidR="003D6A87" w:rsidRPr="003D6A87" w:rsidRDefault="003D6A87" w:rsidP="00726323">
      <w:pPr>
        <w:spacing w:after="200" w:line="276" w:lineRule="auto"/>
        <w:rPr>
          <w:b/>
          <w:caps/>
          <w:szCs w:val="24"/>
          <w:lang w:eastAsia="en-GB"/>
        </w:rPr>
      </w:pPr>
      <w:r w:rsidRPr="003D6A87">
        <w:rPr>
          <w:b/>
          <w:caps/>
          <w:szCs w:val="24"/>
          <w:lang w:eastAsia="en-GB"/>
        </w:rPr>
        <w:t>NEGOTIATED DISCLOSURE AGREEMENT</w:t>
      </w:r>
    </w:p>
    <w:p w14:paraId="55B5CC11" w14:textId="77777777" w:rsidR="003D6A87" w:rsidRPr="003D6A87" w:rsidRDefault="003D6A87">
      <w:pPr>
        <w:spacing w:after="200" w:line="276" w:lineRule="auto"/>
        <w:rPr>
          <w:i/>
          <w:szCs w:val="24"/>
          <w:lang w:eastAsia="en-GB"/>
        </w:rPr>
      </w:pPr>
      <w:r w:rsidRPr="003D6A87">
        <w:rPr>
          <w:i/>
          <w:szCs w:val="24"/>
          <w:lang w:eastAsia="en-GB"/>
        </w:rPr>
        <w:t>Whereas:</w:t>
      </w:r>
    </w:p>
    <w:p w14:paraId="3A627CB2" w14:textId="77777777" w:rsidR="003D6A87" w:rsidRPr="003D6A87" w:rsidRDefault="003D6A87" w:rsidP="00726323">
      <w:pPr>
        <w:numPr>
          <w:ilvl w:val="0"/>
          <w:numId w:val="23"/>
        </w:numPr>
        <w:spacing w:after="200" w:line="276" w:lineRule="auto"/>
        <w:ind w:left="714" w:hanging="357"/>
        <w:rPr>
          <w:szCs w:val="24"/>
          <w:lang w:eastAsia="en-GB"/>
        </w:rPr>
      </w:pPr>
      <w:r w:rsidRPr="003D6A87">
        <w:rPr>
          <w:szCs w:val="24"/>
          <w:lang w:eastAsia="en-GB"/>
        </w:rPr>
        <w:t>On [</w:t>
      </w:r>
      <w:r w:rsidRPr="003D6A87">
        <w:rPr>
          <w:szCs w:val="24"/>
          <w:highlight w:val="yellow"/>
          <w:shd w:val="clear" w:color="auto" w:fill="BFBFBF"/>
          <w:lang w:eastAsia="en-GB"/>
        </w:rPr>
        <w:t>DATE</w:t>
      </w:r>
      <w:r w:rsidRPr="003D6A87">
        <w:rPr>
          <w:szCs w:val="24"/>
          <w:lang w:eastAsia="en-GB"/>
        </w:rPr>
        <w:t>], the European Commission (the "Commission") issued a Statement of Objections ("SO") in Case AT [</w:t>
      </w:r>
      <w:r w:rsidRPr="003D6A87">
        <w:rPr>
          <w:szCs w:val="24"/>
          <w:highlight w:val="yellow"/>
          <w:lang w:eastAsia="en-GB"/>
        </w:rPr>
        <w:t>NUMBER</w:t>
      </w:r>
      <w:r w:rsidRPr="003D6A87">
        <w:rPr>
          <w:szCs w:val="24"/>
          <w:lang w:eastAsia="en-GB"/>
        </w:rPr>
        <w:t>] (“the Case”) to [</w:t>
      </w:r>
      <w:r w:rsidRPr="003D6A87">
        <w:rPr>
          <w:szCs w:val="24"/>
          <w:highlight w:val="yellow"/>
          <w:lang w:eastAsia="en-GB"/>
        </w:rPr>
        <w:t>SO Addressee</w:t>
      </w:r>
      <w:r w:rsidRPr="003D6A87">
        <w:rPr>
          <w:szCs w:val="24"/>
          <w:lang w:eastAsia="en-GB"/>
        </w:rPr>
        <w:t>] (the "</w:t>
      </w:r>
      <w:r w:rsidRPr="003D6A87">
        <w:rPr>
          <w:b/>
          <w:szCs w:val="24"/>
          <w:lang w:eastAsia="en-GB"/>
        </w:rPr>
        <w:t>SO Addressee</w:t>
      </w:r>
      <w:r w:rsidRPr="003D6A87">
        <w:rPr>
          <w:szCs w:val="24"/>
          <w:lang w:eastAsia="en-GB"/>
        </w:rPr>
        <w:t>").</w:t>
      </w:r>
    </w:p>
    <w:p w14:paraId="6F568E4E" w14:textId="77777777" w:rsidR="003D6A87" w:rsidRPr="003D6A87" w:rsidRDefault="003D6A87" w:rsidP="00726323">
      <w:pPr>
        <w:numPr>
          <w:ilvl w:val="0"/>
          <w:numId w:val="23"/>
        </w:numPr>
        <w:spacing w:after="200" w:line="276" w:lineRule="auto"/>
        <w:ind w:left="714" w:hanging="357"/>
        <w:rPr>
          <w:szCs w:val="24"/>
          <w:lang w:eastAsia="en-GB"/>
        </w:rPr>
      </w:pPr>
      <w:r w:rsidRPr="003D6A87">
        <w:rPr>
          <w:szCs w:val="24"/>
          <w:lang w:eastAsia="en-GB"/>
        </w:rPr>
        <w:t>The SO Addressee has engaged [</w:t>
      </w:r>
      <w:r w:rsidRPr="003D6A87">
        <w:rPr>
          <w:szCs w:val="24"/>
          <w:highlight w:val="yellow"/>
          <w:lang w:eastAsia="en-GB"/>
        </w:rPr>
        <w:t>EXTERNAL COUNSEL, FIRM</w:t>
      </w:r>
      <w:r w:rsidRPr="003D6A87">
        <w:rPr>
          <w:szCs w:val="24"/>
          <w:lang w:eastAsia="en-GB"/>
        </w:rPr>
        <w:t>] as external legal counsel in relation to the Case (the "</w:t>
      </w:r>
      <w:r w:rsidRPr="003D6A87">
        <w:rPr>
          <w:b/>
          <w:szCs w:val="24"/>
          <w:lang w:eastAsia="en-GB"/>
        </w:rPr>
        <w:t>External Counsel</w:t>
      </w:r>
      <w:r w:rsidRPr="003D6A87">
        <w:rPr>
          <w:szCs w:val="24"/>
          <w:lang w:eastAsia="en-GB"/>
        </w:rPr>
        <w:t>"</w:t>
      </w:r>
      <w:r w:rsidRPr="003D6A87">
        <w:rPr>
          <w:b/>
          <w:szCs w:val="24"/>
          <w:lang w:eastAsia="en-GB"/>
        </w:rPr>
        <w:t>)</w:t>
      </w:r>
      <w:r w:rsidRPr="003D6A87">
        <w:rPr>
          <w:szCs w:val="24"/>
          <w:lang w:eastAsia="en-GB"/>
        </w:rPr>
        <w:t>.</w:t>
      </w:r>
    </w:p>
    <w:p w14:paraId="669E37C6" w14:textId="77777777" w:rsidR="003D6A87" w:rsidRPr="003D6A87" w:rsidRDefault="003D6A87" w:rsidP="00726323">
      <w:pPr>
        <w:numPr>
          <w:ilvl w:val="0"/>
          <w:numId w:val="23"/>
        </w:numPr>
        <w:spacing w:after="200" w:line="276" w:lineRule="auto"/>
        <w:ind w:left="714" w:hanging="357"/>
        <w:rPr>
          <w:szCs w:val="24"/>
          <w:lang w:eastAsia="en-GB"/>
        </w:rPr>
      </w:pPr>
      <w:r w:rsidRPr="003D6A87">
        <w:rPr>
          <w:szCs w:val="24"/>
          <w:lang w:eastAsia="en-GB"/>
        </w:rPr>
        <w:t>The Commission [</w:t>
      </w:r>
      <w:r w:rsidRPr="003D6A87">
        <w:rPr>
          <w:szCs w:val="24"/>
          <w:highlight w:val="yellow"/>
          <w:lang w:eastAsia="en-GB"/>
        </w:rPr>
        <w:t>has/will</w:t>
      </w:r>
      <w:r w:rsidRPr="003D6A87">
        <w:rPr>
          <w:szCs w:val="24"/>
          <w:lang w:eastAsia="en-GB"/>
        </w:rPr>
        <w:t>] provide(d) the SO Addressee access to the file [on [</w:t>
      </w:r>
      <w:r w:rsidRPr="003D6A87">
        <w:rPr>
          <w:szCs w:val="24"/>
          <w:highlight w:val="yellow"/>
          <w:lang w:eastAsia="en-GB"/>
        </w:rPr>
        <w:t>DATE</w:t>
      </w:r>
      <w:r w:rsidRPr="003D6A87">
        <w:rPr>
          <w:szCs w:val="24"/>
          <w:lang w:eastAsia="en-GB"/>
        </w:rPr>
        <w:t>]]. Access to the file [</w:t>
      </w:r>
      <w:r w:rsidRPr="003D6A87">
        <w:rPr>
          <w:szCs w:val="24"/>
          <w:highlight w:val="yellow"/>
          <w:lang w:eastAsia="en-GB"/>
        </w:rPr>
        <w:t>will be/was</w:t>
      </w:r>
      <w:r w:rsidRPr="003D6A87">
        <w:rPr>
          <w:szCs w:val="24"/>
          <w:lang w:eastAsia="en-GB"/>
        </w:rPr>
        <w:t>] provided on the basis of Article 27(2) of Council Regulation (EC) No 1/2003,</w:t>
      </w:r>
      <w:r w:rsidRPr="003D6A87">
        <w:rPr>
          <w:szCs w:val="24"/>
          <w:vertAlign w:val="superscript"/>
          <w:lang w:eastAsia="en-GB"/>
        </w:rPr>
        <w:footnoteReference w:id="9"/>
      </w:r>
      <w:r w:rsidRPr="003D6A87">
        <w:rPr>
          <w:szCs w:val="24"/>
          <w:lang w:eastAsia="en-GB"/>
        </w:rPr>
        <w:t xml:space="preserve"> Articles 15 and 16a of Commission Regulation (EC) No 773/2004</w:t>
      </w:r>
      <w:r w:rsidRPr="003D6A87">
        <w:rPr>
          <w:szCs w:val="24"/>
          <w:vertAlign w:val="superscript"/>
          <w:lang w:eastAsia="en-GB"/>
        </w:rPr>
        <w:footnoteReference w:id="10"/>
      </w:r>
      <w:r w:rsidRPr="003D6A87">
        <w:rPr>
          <w:szCs w:val="24"/>
          <w:lang w:eastAsia="en-GB"/>
        </w:rPr>
        <w:t xml:space="preserve"> and the Commission Notice on Access to File.</w:t>
      </w:r>
      <w:r w:rsidRPr="003D6A87">
        <w:rPr>
          <w:szCs w:val="24"/>
          <w:vertAlign w:val="superscript"/>
          <w:lang w:eastAsia="en-GB"/>
        </w:rPr>
        <w:footnoteReference w:id="11"/>
      </w:r>
      <w:r w:rsidRPr="003D6A87">
        <w:rPr>
          <w:szCs w:val="24"/>
          <w:lang w:eastAsia="en-GB"/>
        </w:rPr>
        <w:t xml:space="preserve"> </w:t>
      </w:r>
    </w:p>
    <w:p w14:paraId="5ECEA748" w14:textId="77777777" w:rsidR="003D6A87" w:rsidRPr="003D6A87" w:rsidRDefault="003D6A87" w:rsidP="00726323">
      <w:pPr>
        <w:numPr>
          <w:ilvl w:val="0"/>
          <w:numId w:val="23"/>
        </w:numPr>
        <w:spacing w:after="200" w:line="276" w:lineRule="auto"/>
        <w:ind w:left="714" w:hanging="357"/>
        <w:rPr>
          <w:szCs w:val="24"/>
          <w:lang w:eastAsia="en-GB"/>
        </w:rPr>
      </w:pPr>
      <w:r w:rsidRPr="003D6A87">
        <w:rPr>
          <w:szCs w:val="24"/>
          <w:lang w:eastAsia="en-GB"/>
        </w:rPr>
        <w:t>In principle, the Commission grants the SO Addressee access to all documents contained in the Commission file, with the exception of internal documents, business secrets of other undertakings, and other confidential information.</w:t>
      </w:r>
      <w:r w:rsidRPr="003D6A87">
        <w:rPr>
          <w:szCs w:val="24"/>
          <w:vertAlign w:val="superscript"/>
          <w:lang w:eastAsia="en-GB"/>
        </w:rPr>
        <w:footnoteReference w:id="12"/>
      </w:r>
      <w:r w:rsidRPr="003D6A87">
        <w:rPr>
          <w:szCs w:val="24"/>
          <w:lang w:eastAsia="en-GB"/>
        </w:rPr>
        <w:t xml:space="preserve"> In this Case, the Commission´s file includes documents that are claimed to contain business secrets and other confidential information.</w:t>
      </w:r>
    </w:p>
    <w:p w14:paraId="38F454C4" w14:textId="77777777" w:rsidR="003D6A87" w:rsidRPr="003D6A87" w:rsidRDefault="003D6A87" w:rsidP="00726323">
      <w:pPr>
        <w:numPr>
          <w:ilvl w:val="0"/>
          <w:numId w:val="23"/>
        </w:numPr>
        <w:spacing w:after="200" w:line="276" w:lineRule="auto"/>
        <w:ind w:left="714" w:hanging="357"/>
        <w:rPr>
          <w:szCs w:val="24"/>
          <w:lang w:eastAsia="en-GB"/>
        </w:rPr>
      </w:pPr>
      <w:r w:rsidRPr="003D6A87">
        <w:rPr>
          <w:szCs w:val="24"/>
          <w:lang w:eastAsia="en-GB"/>
        </w:rPr>
        <w:t>A [</w:t>
      </w:r>
      <w:r w:rsidRPr="003D6A87">
        <w:rPr>
          <w:szCs w:val="24"/>
          <w:highlight w:val="yellow"/>
          <w:lang w:eastAsia="en-GB"/>
        </w:rPr>
        <w:t>third</w:t>
      </w:r>
      <w:r w:rsidRPr="003D6A87">
        <w:rPr>
          <w:szCs w:val="24"/>
          <w:lang w:eastAsia="en-GB"/>
        </w:rPr>
        <w:t xml:space="preserve">] party in an EU antitrust procedure can waive, </w:t>
      </w:r>
      <w:r w:rsidRPr="003D6A87">
        <w:rPr>
          <w:i/>
          <w:szCs w:val="24"/>
          <w:lang w:eastAsia="en-GB"/>
        </w:rPr>
        <w:t>vis-à-vis</w:t>
      </w:r>
      <w:r w:rsidRPr="003D6A87">
        <w:rPr>
          <w:szCs w:val="24"/>
          <w:lang w:eastAsia="en-GB"/>
        </w:rPr>
        <w:t xml:space="preserve"> the Commission, its right to the protection of its business secrets and other confidential information.</w:t>
      </w:r>
      <w:r w:rsidRPr="003D6A87">
        <w:rPr>
          <w:szCs w:val="24"/>
          <w:vertAlign w:val="superscript"/>
          <w:lang w:eastAsia="en-GB"/>
        </w:rPr>
        <w:footnoteReference w:id="13"/>
      </w:r>
    </w:p>
    <w:p w14:paraId="1064B45B" w14:textId="40BDF851" w:rsidR="003D6A87" w:rsidRPr="003D6A87" w:rsidRDefault="003D6A87" w:rsidP="00726323">
      <w:pPr>
        <w:numPr>
          <w:ilvl w:val="0"/>
          <w:numId w:val="23"/>
        </w:numPr>
        <w:spacing w:after="200" w:line="276" w:lineRule="auto"/>
        <w:ind w:left="714" w:hanging="357"/>
        <w:rPr>
          <w:szCs w:val="24"/>
          <w:lang w:eastAsia="en-GB"/>
        </w:rPr>
      </w:pPr>
      <w:r w:rsidRPr="003D6A87">
        <w:rPr>
          <w:szCs w:val="24"/>
          <w:lang w:eastAsia="en-GB"/>
        </w:rPr>
        <w:t>The Commission has agreed to facilitate a negotiated disclosure of [</w:t>
      </w:r>
      <w:r w:rsidRPr="003D6A87">
        <w:rPr>
          <w:szCs w:val="24"/>
          <w:highlight w:val="yellow"/>
          <w:lang w:eastAsia="en-GB"/>
        </w:rPr>
        <w:t>ALL/PART</w:t>
      </w:r>
      <w:r w:rsidRPr="003D6A87">
        <w:rPr>
          <w:szCs w:val="24"/>
          <w:lang w:eastAsia="en-GB"/>
        </w:rPr>
        <w:t>] of the documents contained in the file. These documents are listed in Enclosure I to this Agreement (the "</w:t>
      </w:r>
      <w:r w:rsidRPr="003D6A87">
        <w:rPr>
          <w:b/>
          <w:szCs w:val="24"/>
          <w:lang w:eastAsia="en-GB"/>
        </w:rPr>
        <w:t>Documents</w:t>
      </w:r>
      <w:r w:rsidRPr="003D6A87">
        <w:rPr>
          <w:szCs w:val="24"/>
          <w:lang w:eastAsia="en-GB"/>
        </w:rPr>
        <w:t xml:space="preserve">"). The Commission obtained these </w:t>
      </w:r>
      <w:r w:rsidR="002D7BC0">
        <w:rPr>
          <w:szCs w:val="24"/>
          <w:lang w:eastAsia="en-GB"/>
        </w:rPr>
        <w:t>D</w:t>
      </w:r>
      <w:r w:rsidRPr="003D6A87">
        <w:rPr>
          <w:szCs w:val="24"/>
          <w:lang w:eastAsia="en-GB"/>
        </w:rPr>
        <w:t xml:space="preserve">ocuments from the </w:t>
      </w:r>
      <w:r w:rsidR="00E926CE">
        <w:rPr>
          <w:szCs w:val="24"/>
          <w:lang w:eastAsia="en-GB"/>
        </w:rPr>
        <w:t>Information Provider</w:t>
      </w:r>
      <w:r w:rsidRPr="003D6A87">
        <w:rPr>
          <w:szCs w:val="24"/>
          <w:lang w:eastAsia="en-GB"/>
        </w:rPr>
        <w:t>. The Documents are claimed to contain business secrets or other confidential information. The SO Addressee ha</w:t>
      </w:r>
      <w:r w:rsidR="002D7BC0">
        <w:rPr>
          <w:szCs w:val="24"/>
          <w:lang w:eastAsia="en-GB"/>
        </w:rPr>
        <w:t>s</w:t>
      </w:r>
      <w:r w:rsidRPr="003D6A87">
        <w:rPr>
          <w:szCs w:val="24"/>
          <w:lang w:eastAsia="en-GB"/>
        </w:rPr>
        <w:t xml:space="preserve"> [</w:t>
      </w:r>
      <w:r w:rsidRPr="003D6A87">
        <w:rPr>
          <w:szCs w:val="24"/>
          <w:highlight w:val="yellow"/>
          <w:lang w:eastAsia="en-GB"/>
        </w:rPr>
        <w:t>not yet</w:t>
      </w:r>
      <w:r w:rsidRPr="003D6A87">
        <w:rPr>
          <w:szCs w:val="24"/>
          <w:lang w:eastAsia="en-GB"/>
        </w:rPr>
        <w:t>] received access to non-confidential versions of the documents or to summaries thereof [</w:t>
      </w:r>
      <w:r w:rsidRPr="003D6A87">
        <w:rPr>
          <w:szCs w:val="24"/>
          <w:highlight w:val="yellow"/>
          <w:lang w:eastAsia="en-GB"/>
        </w:rPr>
        <w:t>on DATE</w:t>
      </w:r>
      <w:r w:rsidRPr="003D6A87">
        <w:rPr>
          <w:szCs w:val="24"/>
          <w:lang w:eastAsia="en-GB"/>
        </w:rPr>
        <w:t>].</w:t>
      </w:r>
    </w:p>
    <w:p w14:paraId="0267AFAC" w14:textId="77777777" w:rsidR="003D6A87" w:rsidRPr="003D6A87" w:rsidRDefault="003D6A87" w:rsidP="00726323">
      <w:pPr>
        <w:numPr>
          <w:ilvl w:val="0"/>
          <w:numId w:val="23"/>
        </w:numPr>
        <w:spacing w:after="200" w:line="276" w:lineRule="auto"/>
        <w:ind w:left="714" w:hanging="357"/>
        <w:rPr>
          <w:szCs w:val="24"/>
          <w:lang w:eastAsia="en-GB"/>
        </w:rPr>
      </w:pPr>
      <w:r w:rsidRPr="003D6A87">
        <w:rPr>
          <w:szCs w:val="24"/>
          <w:lang w:eastAsia="en-GB"/>
        </w:rPr>
        <w:t>This Agreement together with all of its Annexes is intended to facilitate disclosure of the Documents through a confidentiality ring comprising the External Counsel [</w:t>
      </w:r>
      <w:r w:rsidRPr="003D6A87">
        <w:rPr>
          <w:szCs w:val="24"/>
          <w:highlight w:val="yellow"/>
          <w:lang w:eastAsia="en-GB"/>
        </w:rPr>
        <w:t>and persons under the direction, control or supervision of the External Counsel and bound by confidentiality obligations towards his/her law firm</w:t>
      </w:r>
      <w:r w:rsidRPr="003D6A87">
        <w:rPr>
          <w:szCs w:val="24"/>
          <w:lang w:eastAsia="en-GB"/>
        </w:rPr>
        <w:t>] [</w:t>
      </w:r>
      <w:r w:rsidRPr="003D6A87">
        <w:rPr>
          <w:szCs w:val="24"/>
          <w:highlight w:val="yellow"/>
          <w:lang w:eastAsia="en-GB"/>
        </w:rPr>
        <w:t>and certain agreed representatives of the SO Addressee</w:t>
      </w:r>
      <w:r w:rsidRPr="003D6A87">
        <w:rPr>
          <w:szCs w:val="24"/>
          <w:lang w:eastAsia="en-GB"/>
        </w:rPr>
        <w:t>]. The members of the confidentiality ring are listed in the Enclosure II to this Agreement (the "</w:t>
      </w:r>
      <w:r w:rsidRPr="003D6A87">
        <w:rPr>
          <w:b/>
          <w:szCs w:val="24"/>
          <w:lang w:eastAsia="en-GB"/>
        </w:rPr>
        <w:t>Members</w:t>
      </w:r>
      <w:r w:rsidRPr="003D6A87">
        <w:rPr>
          <w:szCs w:val="24"/>
          <w:lang w:eastAsia="en-GB"/>
        </w:rPr>
        <w:t>").</w:t>
      </w:r>
    </w:p>
    <w:p w14:paraId="5ECB1E31" w14:textId="77777777" w:rsidR="003D6A87" w:rsidRPr="003D6A87" w:rsidRDefault="003D6A87" w:rsidP="00726323">
      <w:pPr>
        <w:numPr>
          <w:ilvl w:val="0"/>
          <w:numId w:val="23"/>
        </w:numPr>
        <w:spacing w:after="200" w:line="276" w:lineRule="auto"/>
        <w:ind w:left="714" w:hanging="357"/>
        <w:rPr>
          <w:szCs w:val="24"/>
          <w:lang w:eastAsia="en-GB"/>
        </w:rPr>
      </w:pPr>
      <w:r w:rsidRPr="003D6A87">
        <w:rPr>
          <w:szCs w:val="24"/>
          <w:lang w:eastAsia="en-GB"/>
        </w:rPr>
        <w:t>The SO Addressee has declared to the Commission that access to the Documents in accordance with this Agreement will satisfy the Commission’s obligations towards the SO Addressee as regards the exercise of its right to access to file.</w:t>
      </w:r>
    </w:p>
    <w:p w14:paraId="31522D4C" w14:textId="52EBFFFC" w:rsidR="003D6A87" w:rsidRPr="003D6A87" w:rsidRDefault="003D6A87" w:rsidP="00726323">
      <w:pPr>
        <w:numPr>
          <w:ilvl w:val="0"/>
          <w:numId w:val="23"/>
        </w:numPr>
        <w:spacing w:after="200" w:line="276" w:lineRule="auto"/>
        <w:ind w:left="714" w:hanging="357"/>
        <w:rPr>
          <w:szCs w:val="24"/>
          <w:lang w:eastAsia="en-GB"/>
        </w:rPr>
      </w:pPr>
      <w:r w:rsidRPr="003D6A87">
        <w:rPr>
          <w:szCs w:val="24"/>
          <w:lang w:eastAsia="en-GB"/>
        </w:rPr>
        <w:t xml:space="preserve">In contemplation of the Commission providing the Members with the Documents pursuant to this Agreement, the </w:t>
      </w:r>
      <w:r w:rsidR="00E926CE">
        <w:rPr>
          <w:szCs w:val="24"/>
          <w:lang w:eastAsia="en-GB"/>
        </w:rPr>
        <w:t>Information Provider</w:t>
      </w:r>
      <w:r w:rsidRPr="003D6A87">
        <w:rPr>
          <w:szCs w:val="24"/>
          <w:lang w:eastAsia="en-GB"/>
        </w:rPr>
        <w:t xml:space="preserve"> has waived its right to the protection of its business secrets and other confidential information by the Commission.</w:t>
      </w:r>
    </w:p>
    <w:p w14:paraId="38A091E1" w14:textId="42C8481B" w:rsidR="003D6A87" w:rsidRPr="003D6A87" w:rsidRDefault="003D6A87">
      <w:pPr>
        <w:spacing w:after="200" w:line="276" w:lineRule="auto"/>
        <w:ind w:firstLine="714"/>
        <w:rPr>
          <w:i/>
          <w:szCs w:val="24"/>
          <w:lang w:eastAsia="en-GB"/>
        </w:rPr>
      </w:pPr>
      <w:r w:rsidRPr="003D6A87">
        <w:rPr>
          <w:i/>
          <w:szCs w:val="24"/>
          <w:lang w:eastAsia="en-GB"/>
        </w:rPr>
        <w:t xml:space="preserve">The </w:t>
      </w:r>
      <w:r w:rsidR="002D7BC0">
        <w:rPr>
          <w:i/>
          <w:szCs w:val="24"/>
          <w:lang w:eastAsia="en-GB"/>
        </w:rPr>
        <w:t>P</w:t>
      </w:r>
      <w:r w:rsidRPr="003D6A87">
        <w:rPr>
          <w:i/>
          <w:szCs w:val="24"/>
          <w:lang w:eastAsia="en-GB"/>
        </w:rPr>
        <w:t>arties therefore conclude the following agreement:</w:t>
      </w:r>
    </w:p>
    <w:p w14:paraId="03093358" w14:textId="477A0FE4" w:rsidR="003D6A87" w:rsidRPr="004D36E7" w:rsidRDefault="003D6A87">
      <w:pPr>
        <w:pStyle w:val="Header"/>
        <w:numPr>
          <w:ilvl w:val="0"/>
          <w:numId w:val="27"/>
        </w:numPr>
        <w:rPr>
          <w:lang w:eastAsia="en-GB"/>
        </w:rPr>
      </w:pPr>
      <w:bookmarkStart w:id="6" w:name="_Ref447208810"/>
      <w:r w:rsidRPr="004D36E7">
        <w:rPr>
          <w:lang w:eastAsia="en-GB"/>
        </w:rPr>
        <w:t xml:space="preserve">Access to the Documents is granted on the condition that the information thereby obtained may only be used by the </w:t>
      </w:r>
      <w:r w:rsidR="002D7BC0">
        <w:rPr>
          <w:lang w:eastAsia="en-GB"/>
        </w:rPr>
        <w:t>External Counsel</w:t>
      </w:r>
      <w:r w:rsidR="00670C97">
        <w:rPr>
          <w:lang w:eastAsia="en-GB"/>
        </w:rPr>
        <w:t xml:space="preserve"> </w:t>
      </w:r>
      <w:r w:rsidRPr="004D36E7">
        <w:rPr>
          <w:lang w:eastAsia="en-GB"/>
        </w:rPr>
        <w:t xml:space="preserve">for the purposes of the proceedings before the Commission in the Case and in any judicial review of a possible future Commission Decision in the Case before the Court of Justice of the European Union. </w:t>
      </w:r>
      <w:r w:rsidR="002D7BC0">
        <w:rPr>
          <w:lang w:eastAsia="en-GB"/>
        </w:rPr>
        <w:t>External Counsel</w:t>
      </w:r>
      <w:r w:rsidRPr="004D36E7">
        <w:rPr>
          <w:lang w:eastAsia="en-GB"/>
        </w:rPr>
        <w:t xml:space="preserve"> may use the information contained in the Documents only for the purposes stated above under the conditions set out in this Agreement.</w:t>
      </w:r>
    </w:p>
    <w:bookmarkEnd w:id="6"/>
    <w:p w14:paraId="130358D7" w14:textId="30C07BB7" w:rsidR="003D6A87" w:rsidRPr="003D6A87" w:rsidRDefault="003D6A87">
      <w:pPr>
        <w:pStyle w:val="Header"/>
        <w:numPr>
          <w:ilvl w:val="0"/>
          <w:numId w:val="27"/>
        </w:numPr>
        <w:rPr>
          <w:szCs w:val="24"/>
          <w:lang w:eastAsia="en-GB"/>
        </w:rPr>
      </w:pPr>
      <w:r w:rsidRPr="003D6A87">
        <w:rPr>
          <w:szCs w:val="24"/>
          <w:lang w:eastAsia="en-GB"/>
        </w:rPr>
        <w:t xml:space="preserve">The </w:t>
      </w:r>
      <w:r w:rsidR="00E926CE">
        <w:rPr>
          <w:szCs w:val="24"/>
          <w:lang w:eastAsia="en-GB"/>
        </w:rPr>
        <w:t>Information Provider</w:t>
      </w:r>
      <w:r w:rsidRPr="003D6A87">
        <w:rPr>
          <w:szCs w:val="24"/>
          <w:lang w:eastAsia="en-GB"/>
        </w:rPr>
        <w:t xml:space="preserve"> hereby waives, </w:t>
      </w:r>
      <w:r w:rsidRPr="003D6A87">
        <w:rPr>
          <w:i/>
          <w:szCs w:val="24"/>
          <w:lang w:eastAsia="en-GB"/>
        </w:rPr>
        <w:t>vis-à-vis</w:t>
      </w:r>
      <w:r w:rsidRPr="003D6A87">
        <w:rPr>
          <w:szCs w:val="24"/>
          <w:lang w:eastAsia="en-GB"/>
        </w:rPr>
        <w:t xml:space="preserve"> the Members, its right to protection of business secrets and other confidential information contained in the Documents. This waiver is solely for the purpose of enabling the Commission to disclose the Documents to the Members in accordance with the terms of this Agreement and is granted to that extent only. </w:t>
      </w:r>
    </w:p>
    <w:p w14:paraId="0273E77C" w14:textId="77777777" w:rsidR="003D6A87" w:rsidRPr="003D6A87" w:rsidRDefault="003D6A87">
      <w:pPr>
        <w:keepNext/>
        <w:keepLines/>
        <w:spacing w:after="200" w:line="276" w:lineRule="auto"/>
        <w:ind w:left="720"/>
        <w:rPr>
          <w:b/>
          <w:szCs w:val="24"/>
          <w:lang w:eastAsia="en-GB"/>
        </w:rPr>
      </w:pPr>
      <w:r w:rsidRPr="003D6A87">
        <w:rPr>
          <w:b/>
          <w:szCs w:val="24"/>
          <w:lang w:eastAsia="en-GB"/>
        </w:rPr>
        <w:t>Negotiated disclosure ring procedure</w:t>
      </w:r>
    </w:p>
    <w:p w14:paraId="33842D14" w14:textId="16693C3B" w:rsidR="003D6A87" w:rsidRPr="003D6A87" w:rsidRDefault="003D6A87">
      <w:pPr>
        <w:pStyle w:val="Header"/>
        <w:numPr>
          <w:ilvl w:val="0"/>
          <w:numId w:val="27"/>
        </w:numPr>
        <w:rPr>
          <w:szCs w:val="24"/>
          <w:lang w:eastAsia="en-GB"/>
        </w:rPr>
      </w:pPr>
      <w:r w:rsidRPr="003D6A87">
        <w:rPr>
          <w:szCs w:val="24"/>
          <w:lang w:eastAsia="en-GB"/>
        </w:rPr>
        <w:t xml:space="preserve">The </w:t>
      </w:r>
      <w:r w:rsidR="00E926CE">
        <w:rPr>
          <w:szCs w:val="24"/>
          <w:lang w:eastAsia="en-GB"/>
        </w:rPr>
        <w:t>Information Provider</w:t>
      </w:r>
      <w:r w:rsidRPr="003D6A87">
        <w:rPr>
          <w:szCs w:val="24"/>
          <w:lang w:eastAsia="en-GB"/>
        </w:rPr>
        <w:t xml:space="preserve"> has provided the Documents to the Commission in an unredacted form. The </w:t>
      </w:r>
      <w:r w:rsidR="00E926CE">
        <w:rPr>
          <w:szCs w:val="24"/>
          <w:lang w:eastAsia="en-GB"/>
        </w:rPr>
        <w:t>Information Provider</w:t>
      </w:r>
      <w:r w:rsidRPr="003D6A87">
        <w:rPr>
          <w:szCs w:val="24"/>
          <w:lang w:eastAsia="en-GB"/>
        </w:rPr>
        <w:t xml:space="preserve"> has consented that the Commission will provide the </w:t>
      </w:r>
      <w:r w:rsidR="002D7BC0">
        <w:rPr>
          <w:szCs w:val="24"/>
          <w:lang w:eastAsia="en-GB"/>
        </w:rPr>
        <w:t>External Counsel</w:t>
      </w:r>
      <w:r w:rsidRPr="003D6A87">
        <w:rPr>
          <w:szCs w:val="24"/>
          <w:lang w:eastAsia="en-GB"/>
        </w:rPr>
        <w:t xml:space="preserve"> with a password protected electronic storage device containing electronic copies of the Documents upon receipt of the following documents: </w:t>
      </w:r>
    </w:p>
    <w:p w14:paraId="70C23879" w14:textId="77777777" w:rsidR="003D6A87" w:rsidRPr="003D6A87" w:rsidRDefault="003D6A87" w:rsidP="00726323">
      <w:pPr>
        <w:numPr>
          <w:ilvl w:val="0"/>
          <w:numId w:val="25"/>
        </w:numPr>
        <w:spacing w:after="200" w:line="276" w:lineRule="auto"/>
        <w:rPr>
          <w:szCs w:val="24"/>
          <w:lang w:eastAsia="en-GB"/>
        </w:rPr>
      </w:pPr>
      <w:r w:rsidRPr="003D6A87">
        <w:rPr>
          <w:szCs w:val="24"/>
          <w:lang w:eastAsia="en-GB"/>
        </w:rPr>
        <w:t>Agreement duly executed by all the Parties; and</w:t>
      </w:r>
    </w:p>
    <w:p w14:paraId="65FD737D" w14:textId="564A0516" w:rsidR="003D6A87" w:rsidRPr="003D6A87" w:rsidRDefault="003D6A87" w:rsidP="00726323">
      <w:pPr>
        <w:numPr>
          <w:ilvl w:val="0"/>
          <w:numId w:val="25"/>
        </w:numPr>
        <w:spacing w:after="200" w:line="276" w:lineRule="auto"/>
        <w:rPr>
          <w:szCs w:val="24"/>
          <w:lang w:eastAsia="en-GB"/>
        </w:rPr>
      </w:pPr>
      <w:r w:rsidRPr="003D6A87">
        <w:rPr>
          <w:szCs w:val="24"/>
          <w:lang w:eastAsia="en-GB"/>
        </w:rPr>
        <w:t xml:space="preserve">Acknowledgements of Negotiated Disclosure Agreement signed by the External Counsel and each and every </w:t>
      </w:r>
      <w:r w:rsidR="002D7BC0">
        <w:rPr>
          <w:szCs w:val="24"/>
          <w:lang w:eastAsia="en-GB"/>
        </w:rPr>
        <w:t xml:space="preserve">other </w:t>
      </w:r>
      <w:r w:rsidRPr="003D6A87">
        <w:rPr>
          <w:szCs w:val="24"/>
          <w:lang w:eastAsia="en-GB"/>
        </w:rPr>
        <w:t xml:space="preserve">Member in the </w:t>
      </w:r>
      <w:r w:rsidRPr="002D7BC0">
        <w:rPr>
          <w:szCs w:val="24"/>
          <w:lang w:eastAsia="en-GB"/>
        </w:rPr>
        <w:t>form of Annex A</w:t>
      </w:r>
      <w:r w:rsidRPr="003D6A87">
        <w:rPr>
          <w:szCs w:val="24"/>
          <w:lang w:eastAsia="en-GB"/>
        </w:rPr>
        <w:t>.</w:t>
      </w:r>
    </w:p>
    <w:p w14:paraId="47447414" w14:textId="5E386F56" w:rsidR="003D6A87" w:rsidRPr="00726323" w:rsidRDefault="003D6A87">
      <w:pPr>
        <w:spacing w:after="200" w:line="276" w:lineRule="auto"/>
        <w:ind w:left="357"/>
        <w:rPr>
          <w:szCs w:val="24"/>
          <w:highlight w:val="yellow"/>
          <w:lang w:eastAsia="en-GB"/>
        </w:rPr>
      </w:pPr>
      <w:bookmarkStart w:id="7" w:name="_Ref448144310"/>
      <w:r w:rsidRPr="003D6A87">
        <w:rPr>
          <w:b/>
          <w:szCs w:val="24"/>
          <w:highlight w:val="yellow"/>
          <w:lang w:eastAsia="en-GB"/>
        </w:rPr>
        <w:t>[</w:t>
      </w:r>
      <w:r w:rsidRPr="002D7BC0">
        <w:rPr>
          <w:szCs w:val="24"/>
          <w:highlight w:val="yellow"/>
          <w:lang w:eastAsia="en-GB"/>
        </w:rPr>
        <w:t>ALTERNATIVE I: NEGOTIATED DISCLOSURE TO GRANT FULL ACCESS (delete when using alternative II)</w:t>
      </w:r>
    </w:p>
    <w:p w14:paraId="2825EBCC" w14:textId="3ABCA72C" w:rsidR="003D6A87" w:rsidRPr="00726323" w:rsidRDefault="003D6A87">
      <w:pPr>
        <w:pStyle w:val="Header"/>
        <w:numPr>
          <w:ilvl w:val="0"/>
          <w:numId w:val="27"/>
        </w:numPr>
        <w:rPr>
          <w:szCs w:val="24"/>
          <w:highlight w:val="yellow"/>
          <w:lang w:eastAsia="en-GB"/>
        </w:rPr>
      </w:pPr>
      <w:r w:rsidRPr="00726323">
        <w:rPr>
          <w:szCs w:val="24"/>
          <w:highlight w:val="yellow"/>
          <w:lang w:eastAsia="en-GB"/>
        </w:rPr>
        <w:t xml:space="preserve">The SO Addressee agrees that the </w:t>
      </w:r>
      <w:r w:rsidR="002D7BC0" w:rsidRPr="00726323">
        <w:rPr>
          <w:szCs w:val="24"/>
          <w:highlight w:val="yellow"/>
          <w:lang w:eastAsia="en-GB"/>
        </w:rPr>
        <w:t>External Counsel</w:t>
      </w:r>
    </w:p>
    <w:p w14:paraId="51D3C45B" w14:textId="77777777" w:rsidR="003D6A87" w:rsidRPr="00726323" w:rsidRDefault="003D6A87">
      <w:pPr>
        <w:spacing w:after="200" w:line="276" w:lineRule="auto"/>
        <w:ind w:left="1440" w:hanging="720"/>
        <w:rPr>
          <w:szCs w:val="24"/>
          <w:highlight w:val="yellow"/>
          <w:lang w:eastAsia="en-GB"/>
        </w:rPr>
      </w:pPr>
      <w:r w:rsidRPr="00726323">
        <w:rPr>
          <w:szCs w:val="24"/>
          <w:highlight w:val="yellow"/>
          <w:lang w:eastAsia="en-GB"/>
        </w:rPr>
        <w:t>-</w:t>
      </w:r>
      <w:r w:rsidRPr="00726323">
        <w:rPr>
          <w:szCs w:val="24"/>
          <w:highlight w:val="yellow"/>
          <w:lang w:eastAsia="en-GB"/>
        </w:rPr>
        <w:tab/>
        <w:t>redacts or removes any information acquired from the Documents from written submissions pertaining to the Case made to the Commission and the Court of Justice of the European Union, and/or</w:t>
      </w:r>
    </w:p>
    <w:p w14:paraId="4420A954" w14:textId="77777777" w:rsidR="003D6A87" w:rsidRPr="00726323" w:rsidRDefault="003D6A87">
      <w:pPr>
        <w:spacing w:after="200" w:line="276" w:lineRule="auto"/>
        <w:ind w:left="1440" w:hanging="720"/>
        <w:rPr>
          <w:szCs w:val="24"/>
          <w:highlight w:val="yellow"/>
          <w:lang w:eastAsia="en-GB"/>
        </w:rPr>
      </w:pPr>
      <w:r w:rsidRPr="00726323">
        <w:rPr>
          <w:szCs w:val="24"/>
          <w:highlight w:val="yellow"/>
          <w:lang w:eastAsia="en-GB"/>
        </w:rPr>
        <w:t xml:space="preserve">- </w:t>
      </w:r>
      <w:r w:rsidRPr="00726323">
        <w:rPr>
          <w:szCs w:val="24"/>
          <w:highlight w:val="yellow"/>
          <w:lang w:eastAsia="en-GB"/>
        </w:rPr>
        <w:tab/>
        <w:t>places information acquired from the Documents in a confidential Annex to the Reply to the SO or Court submission which remains non-accessible to the SO Addressee.</w:t>
      </w:r>
    </w:p>
    <w:p w14:paraId="340CE64A" w14:textId="77777777" w:rsidR="003D6A87" w:rsidRPr="00726323" w:rsidRDefault="003D6A87">
      <w:pPr>
        <w:spacing w:after="200" w:line="276" w:lineRule="auto"/>
        <w:ind w:left="1440" w:hanging="720"/>
        <w:rPr>
          <w:szCs w:val="24"/>
          <w:highlight w:val="yellow"/>
          <w:lang w:eastAsia="en-GB"/>
        </w:rPr>
      </w:pPr>
      <w:r w:rsidRPr="00726323">
        <w:rPr>
          <w:szCs w:val="24"/>
          <w:highlight w:val="yellow"/>
          <w:lang w:eastAsia="en-GB"/>
        </w:rPr>
        <w:t>-</w:t>
      </w:r>
      <w:r w:rsidRPr="00726323">
        <w:rPr>
          <w:szCs w:val="24"/>
          <w:highlight w:val="yellow"/>
          <w:lang w:eastAsia="en-GB"/>
        </w:rPr>
        <w:tab/>
        <w:t>excludes information acquired from the Documents from any oral submission in the proceedings before the Commission and the Court of Justice of the European Union pertaining to the Case (save where arrangements have been made to prevent improper disclosure of information acquired from the Documents, or where ordered by the Court)</w:t>
      </w:r>
    </w:p>
    <w:p w14:paraId="6DEB7880" w14:textId="595FB64F" w:rsidR="003D6A87" w:rsidRPr="00726323" w:rsidRDefault="003D6A87">
      <w:pPr>
        <w:pStyle w:val="Header"/>
        <w:numPr>
          <w:ilvl w:val="0"/>
          <w:numId w:val="27"/>
        </w:numPr>
        <w:rPr>
          <w:szCs w:val="24"/>
          <w:highlight w:val="yellow"/>
          <w:lang w:eastAsia="en-GB"/>
        </w:rPr>
      </w:pPr>
      <w:r w:rsidRPr="00726323">
        <w:rPr>
          <w:szCs w:val="24"/>
          <w:highlight w:val="yellow"/>
          <w:lang w:eastAsia="en-GB"/>
        </w:rPr>
        <w:t xml:space="preserve">[OPTIONAL The </w:t>
      </w:r>
      <w:r w:rsidR="00E926CE" w:rsidRPr="00726323">
        <w:rPr>
          <w:szCs w:val="24"/>
          <w:highlight w:val="yellow"/>
          <w:lang w:eastAsia="en-GB"/>
        </w:rPr>
        <w:t>Information Provider</w:t>
      </w:r>
      <w:r w:rsidRPr="00726323">
        <w:rPr>
          <w:szCs w:val="24"/>
          <w:highlight w:val="yellow"/>
          <w:lang w:eastAsia="en-GB"/>
        </w:rPr>
        <w:t xml:space="preserve"> agrees that in the event that the </w:t>
      </w:r>
      <w:r w:rsidR="002D7BC0" w:rsidRPr="00726323">
        <w:rPr>
          <w:szCs w:val="24"/>
          <w:highlight w:val="yellow"/>
          <w:lang w:eastAsia="en-GB"/>
        </w:rPr>
        <w:t>External Counsel</w:t>
      </w:r>
      <w:r w:rsidRPr="00726323">
        <w:rPr>
          <w:szCs w:val="24"/>
          <w:highlight w:val="yellow"/>
          <w:lang w:eastAsia="en-GB"/>
        </w:rPr>
        <w:t xml:space="preserve"> considers that </w:t>
      </w:r>
      <w:r w:rsidR="002D7BC0" w:rsidRPr="00726323">
        <w:rPr>
          <w:szCs w:val="24"/>
          <w:highlight w:val="yellow"/>
          <w:lang w:eastAsia="en-GB"/>
        </w:rPr>
        <w:t>SO Addressee</w:t>
      </w:r>
      <w:r w:rsidRPr="00726323">
        <w:rPr>
          <w:szCs w:val="24"/>
          <w:highlight w:val="yellow"/>
          <w:lang w:eastAsia="en-GB"/>
        </w:rPr>
        <w:t xml:space="preserve">´s defence cannot properly be assured without information in certain of the Documents (or parts thereof) being disclosed in full to the SO Addressee, permission for such disclosure to the SO addressee shall be sought from the </w:t>
      </w:r>
      <w:r w:rsidR="00E926CE" w:rsidRPr="00726323">
        <w:rPr>
          <w:szCs w:val="24"/>
          <w:highlight w:val="yellow"/>
          <w:lang w:eastAsia="en-GB"/>
        </w:rPr>
        <w:t>Information Provider</w:t>
      </w:r>
      <w:r w:rsidRPr="00726323">
        <w:rPr>
          <w:szCs w:val="24"/>
          <w:highlight w:val="yellow"/>
          <w:lang w:eastAsia="en-GB"/>
        </w:rPr>
        <w:t xml:space="preserve">. Where such permission is not granted within 10 working days, the </w:t>
      </w:r>
      <w:r w:rsidR="002D7BC0" w:rsidRPr="00726323">
        <w:rPr>
          <w:szCs w:val="24"/>
          <w:highlight w:val="yellow"/>
          <w:lang w:eastAsia="en-GB"/>
        </w:rPr>
        <w:t>External Counsel</w:t>
      </w:r>
      <w:r w:rsidRPr="00726323">
        <w:rPr>
          <w:szCs w:val="24"/>
          <w:highlight w:val="yellow"/>
          <w:lang w:eastAsia="en-GB"/>
        </w:rPr>
        <w:t xml:space="preserve"> may address the Commission according to Article 3(7) and 7 of the Decision of the President of the European Commission of 13 October 2011 on the functions and terms of reference of the Hearing Officer in certain competition proceedings</w:t>
      </w:r>
      <w:r w:rsidR="005E42FB" w:rsidRPr="00726323">
        <w:rPr>
          <w:szCs w:val="24"/>
          <w:highlight w:val="yellow"/>
          <w:vertAlign w:val="superscript"/>
          <w:lang w:eastAsia="en-GB"/>
        </w:rPr>
        <w:footnoteReference w:id="14"/>
      </w:r>
      <w:r w:rsidR="005E42FB" w:rsidRPr="00726323">
        <w:rPr>
          <w:szCs w:val="24"/>
          <w:highlight w:val="yellow"/>
          <w:lang w:eastAsia="en-GB"/>
        </w:rPr>
        <w:t xml:space="preserve"> </w:t>
      </w:r>
      <w:r w:rsidR="005E42FB" w:rsidRPr="00726323">
        <w:rPr>
          <w:highlight w:val="yellow"/>
        </w:rPr>
        <w:t>seeking the provision by the Commission of (part(s) of) the Document(s) concerned</w:t>
      </w:r>
      <w:r w:rsidRPr="00726323">
        <w:rPr>
          <w:szCs w:val="24"/>
          <w:highlight w:val="yellow"/>
          <w:lang w:eastAsia="en-GB"/>
        </w:rPr>
        <w:t>.]</w:t>
      </w:r>
      <w:r w:rsidR="002D7BC0" w:rsidRPr="00726323">
        <w:rPr>
          <w:b/>
          <w:szCs w:val="24"/>
          <w:highlight w:val="yellow"/>
          <w:lang w:eastAsia="en-GB"/>
        </w:rPr>
        <w:t>]</w:t>
      </w:r>
    </w:p>
    <w:bookmarkEnd w:id="7"/>
    <w:p w14:paraId="7D7ABB9C" w14:textId="676487A2" w:rsidR="003D6A87" w:rsidRPr="00726323" w:rsidRDefault="003D6A87">
      <w:pPr>
        <w:spacing w:after="200" w:line="276" w:lineRule="auto"/>
        <w:ind w:left="717"/>
        <w:rPr>
          <w:szCs w:val="24"/>
          <w:highlight w:val="yellow"/>
          <w:lang w:eastAsia="en-GB"/>
        </w:rPr>
      </w:pPr>
      <w:r w:rsidRPr="00B83551">
        <w:rPr>
          <w:b/>
          <w:szCs w:val="24"/>
          <w:lang w:eastAsia="en-GB"/>
        </w:rPr>
        <w:t>[</w:t>
      </w:r>
      <w:r w:rsidRPr="003D6A87">
        <w:rPr>
          <w:szCs w:val="24"/>
          <w:highlight w:val="yellow"/>
          <w:lang w:eastAsia="en-GB"/>
        </w:rPr>
        <w:t xml:space="preserve">ALTERNATIVE II: NEGOTIATED DISCLOSURE AS A FILTER –delete </w:t>
      </w:r>
      <w:r w:rsidRPr="00B83551">
        <w:rPr>
          <w:szCs w:val="24"/>
          <w:highlight w:val="yellow"/>
          <w:lang w:eastAsia="en-GB"/>
        </w:rPr>
        <w:t>when using alternative I</w:t>
      </w:r>
    </w:p>
    <w:p w14:paraId="687C4C47" w14:textId="5A59A2F8" w:rsidR="003D6A87" w:rsidRPr="00726323" w:rsidRDefault="003D6A87">
      <w:pPr>
        <w:pStyle w:val="Header"/>
        <w:numPr>
          <w:ilvl w:val="0"/>
          <w:numId w:val="27"/>
        </w:numPr>
        <w:rPr>
          <w:szCs w:val="24"/>
          <w:highlight w:val="yellow"/>
          <w:lang w:eastAsia="en-GB"/>
        </w:rPr>
      </w:pPr>
      <w:bookmarkStart w:id="8" w:name="_Ref448142712"/>
      <w:r w:rsidRPr="00726323">
        <w:rPr>
          <w:szCs w:val="24"/>
          <w:highlight w:val="yellow"/>
          <w:lang w:eastAsia="en-GB"/>
        </w:rPr>
        <w:t xml:space="preserve">If the </w:t>
      </w:r>
      <w:r w:rsidR="002D7BC0" w:rsidRPr="00726323">
        <w:rPr>
          <w:szCs w:val="24"/>
          <w:highlight w:val="yellow"/>
          <w:lang w:eastAsia="en-GB"/>
        </w:rPr>
        <w:t>External Counsel</w:t>
      </w:r>
      <w:r w:rsidRPr="00726323">
        <w:rPr>
          <w:szCs w:val="24"/>
          <w:highlight w:val="yellow"/>
          <w:lang w:eastAsia="en-GB"/>
        </w:rPr>
        <w:t xml:space="preserve"> identifies the information in the Documents as exculpatory and intends to use this information for the purposes identified in Article 1 of this Agreement, the </w:t>
      </w:r>
      <w:r w:rsidR="002D7BC0" w:rsidRPr="00726323">
        <w:rPr>
          <w:szCs w:val="24"/>
          <w:highlight w:val="yellow"/>
          <w:lang w:eastAsia="en-GB"/>
        </w:rPr>
        <w:t>External Counsel</w:t>
      </w:r>
      <w:r w:rsidRPr="00726323">
        <w:rPr>
          <w:szCs w:val="24"/>
          <w:highlight w:val="yellow"/>
          <w:lang w:eastAsia="en-GB"/>
        </w:rPr>
        <w:t xml:space="preserve"> is required to:</w:t>
      </w:r>
      <w:bookmarkEnd w:id="8"/>
    </w:p>
    <w:p w14:paraId="03871C55" w14:textId="77777777" w:rsidR="003D6A87" w:rsidRPr="00726323" w:rsidRDefault="003D6A87" w:rsidP="00726323">
      <w:pPr>
        <w:numPr>
          <w:ilvl w:val="1"/>
          <w:numId w:val="24"/>
        </w:numPr>
        <w:spacing w:after="200" w:line="276" w:lineRule="auto"/>
        <w:rPr>
          <w:szCs w:val="24"/>
          <w:highlight w:val="yellow"/>
          <w:lang w:eastAsia="en-GB"/>
        </w:rPr>
      </w:pPr>
      <w:r w:rsidRPr="00726323">
        <w:rPr>
          <w:szCs w:val="24"/>
          <w:highlight w:val="yellow"/>
          <w:lang w:eastAsia="en-GB"/>
        </w:rPr>
        <w:t>clearly identify the Documents or parts thereof which are concerned; and</w:t>
      </w:r>
    </w:p>
    <w:p w14:paraId="7156A8DD" w14:textId="10F4CAE5" w:rsidR="003D6A87" w:rsidRPr="00726323" w:rsidRDefault="003D6A87" w:rsidP="00726323">
      <w:pPr>
        <w:numPr>
          <w:ilvl w:val="1"/>
          <w:numId w:val="24"/>
        </w:numPr>
        <w:spacing w:after="200" w:line="276" w:lineRule="auto"/>
        <w:rPr>
          <w:szCs w:val="24"/>
          <w:highlight w:val="yellow"/>
          <w:lang w:eastAsia="en-GB"/>
        </w:rPr>
      </w:pPr>
      <w:r w:rsidRPr="00726323">
        <w:rPr>
          <w:szCs w:val="24"/>
          <w:highlight w:val="yellow"/>
          <w:lang w:eastAsia="en-GB"/>
        </w:rPr>
        <w:t>submit to the Commission a reasoned request for client access in the form of a list (the "</w:t>
      </w:r>
      <w:r w:rsidRPr="00726323">
        <w:rPr>
          <w:b/>
          <w:szCs w:val="24"/>
          <w:highlight w:val="yellow"/>
          <w:lang w:eastAsia="en-GB"/>
        </w:rPr>
        <w:t>List</w:t>
      </w:r>
      <w:r w:rsidRPr="00726323">
        <w:rPr>
          <w:szCs w:val="24"/>
          <w:highlight w:val="yellow"/>
          <w:lang w:eastAsia="en-GB"/>
        </w:rPr>
        <w:t>") including (i) clear identification of the relevant Documents or parts thereof and (ii) explanation of why the information in the identified Documents or parts thereof is considered exculpatory. General or vague justifications such as “</w:t>
      </w:r>
      <w:r w:rsidRPr="00726323">
        <w:rPr>
          <w:i/>
          <w:szCs w:val="24"/>
          <w:highlight w:val="yellow"/>
          <w:lang w:eastAsia="en-GB"/>
        </w:rPr>
        <w:t>the information could be exculpatory</w:t>
      </w:r>
      <w:r w:rsidRPr="00726323">
        <w:rPr>
          <w:szCs w:val="24"/>
          <w:highlight w:val="yellow"/>
          <w:lang w:eastAsia="en-GB"/>
        </w:rPr>
        <w:t>” or “</w:t>
      </w:r>
      <w:r w:rsidRPr="00726323">
        <w:rPr>
          <w:i/>
          <w:szCs w:val="24"/>
          <w:highlight w:val="yellow"/>
          <w:lang w:eastAsia="en-GB"/>
        </w:rPr>
        <w:t>the information could be necessary to understand the context</w:t>
      </w:r>
      <w:r w:rsidRPr="00726323">
        <w:rPr>
          <w:szCs w:val="24"/>
          <w:highlight w:val="yellow"/>
          <w:lang w:eastAsia="en-GB"/>
        </w:rPr>
        <w:t>” will not be considered as sufficient. The justification must clearly explain the specific reasons why the particular information is necessary for the exercise of the SO Addressee’</w:t>
      </w:r>
      <w:r w:rsidR="002D7BC0" w:rsidRPr="00726323">
        <w:rPr>
          <w:szCs w:val="24"/>
          <w:highlight w:val="yellow"/>
          <w:lang w:eastAsia="en-GB"/>
        </w:rPr>
        <w:t>s</w:t>
      </w:r>
      <w:r w:rsidRPr="00726323">
        <w:rPr>
          <w:szCs w:val="24"/>
          <w:highlight w:val="yellow"/>
          <w:lang w:eastAsia="en-GB"/>
        </w:rPr>
        <w:t xml:space="preserve"> rights of defence and what the </w:t>
      </w:r>
      <w:r w:rsidR="002D7BC0" w:rsidRPr="00726323">
        <w:rPr>
          <w:szCs w:val="24"/>
          <w:highlight w:val="yellow"/>
          <w:lang w:eastAsia="en-GB"/>
        </w:rPr>
        <w:t>External Counsel</w:t>
      </w:r>
      <w:r w:rsidRPr="00726323">
        <w:rPr>
          <w:szCs w:val="24"/>
          <w:highlight w:val="yellow"/>
          <w:lang w:eastAsia="en-GB"/>
        </w:rPr>
        <w:t xml:space="preserve"> intends to show by it; and</w:t>
      </w:r>
    </w:p>
    <w:p w14:paraId="24992B23" w14:textId="77777777" w:rsidR="003D6A87" w:rsidRPr="00726323" w:rsidRDefault="003D6A87" w:rsidP="00726323">
      <w:pPr>
        <w:numPr>
          <w:ilvl w:val="1"/>
          <w:numId w:val="24"/>
        </w:numPr>
        <w:spacing w:after="200" w:line="276" w:lineRule="auto"/>
        <w:rPr>
          <w:szCs w:val="24"/>
          <w:highlight w:val="yellow"/>
          <w:lang w:eastAsia="en-GB"/>
        </w:rPr>
      </w:pPr>
      <w:r w:rsidRPr="00726323">
        <w:rPr>
          <w:szCs w:val="24"/>
          <w:highlight w:val="yellow"/>
          <w:lang w:eastAsia="en-GB"/>
        </w:rPr>
        <w:t>provide the Commission with the List within 15 working days as of the receipt of the password protected electronic storage device containing electronic copies of the Documents.</w:t>
      </w:r>
    </w:p>
    <w:p w14:paraId="23189324" w14:textId="19C32E1E" w:rsidR="003D6A87" w:rsidRPr="00726323" w:rsidRDefault="003D6A87">
      <w:pPr>
        <w:pStyle w:val="Header"/>
        <w:numPr>
          <w:ilvl w:val="0"/>
          <w:numId w:val="27"/>
        </w:numPr>
        <w:rPr>
          <w:szCs w:val="24"/>
          <w:highlight w:val="yellow"/>
          <w:lang w:eastAsia="en-GB"/>
        </w:rPr>
      </w:pPr>
      <w:r w:rsidRPr="00726323">
        <w:rPr>
          <w:szCs w:val="24"/>
          <w:highlight w:val="yellow"/>
          <w:lang w:eastAsia="en-GB"/>
        </w:rPr>
        <w:t xml:space="preserve">If the </w:t>
      </w:r>
      <w:r w:rsidR="002D7BC0" w:rsidRPr="00726323">
        <w:rPr>
          <w:szCs w:val="24"/>
          <w:highlight w:val="yellow"/>
          <w:lang w:eastAsia="en-GB"/>
        </w:rPr>
        <w:t>External Counsel</w:t>
      </w:r>
      <w:r w:rsidRPr="00726323">
        <w:rPr>
          <w:szCs w:val="24"/>
          <w:highlight w:val="yellow"/>
          <w:lang w:eastAsia="en-GB"/>
        </w:rPr>
        <w:t xml:space="preserve"> fails to provide the Commission with the List in accordance with and within the deadline set in Article 4 of this Agreement, it shall be considered that the SO Addressee's rights to access to file with respect to the Documents have been fully exercised by the SO Addressee and the </w:t>
      </w:r>
      <w:r w:rsidR="002D7BC0" w:rsidRPr="00726323">
        <w:rPr>
          <w:szCs w:val="24"/>
          <w:highlight w:val="yellow"/>
          <w:lang w:eastAsia="en-GB"/>
        </w:rPr>
        <w:t>External Counsel</w:t>
      </w:r>
      <w:r w:rsidRPr="00726323">
        <w:rPr>
          <w:szCs w:val="24"/>
          <w:highlight w:val="yellow"/>
          <w:lang w:eastAsia="en-GB"/>
        </w:rPr>
        <w:t xml:space="preserve"> shall return the Access to File DVD to the Commission. </w:t>
      </w:r>
    </w:p>
    <w:p w14:paraId="03057A82" w14:textId="0B37DF58" w:rsidR="003D6A87" w:rsidRPr="00726323" w:rsidRDefault="003D6A87">
      <w:pPr>
        <w:pStyle w:val="Header"/>
        <w:numPr>
          <w:ilvl w:val="0"/>
          <w:numId w:val="27"/>
        </w:numPr>
        <w:rPr>
          <w:szCs w:val="24"/>
          <w:highlight w:val="yellow"/>
          <w:lang w:eastAsia="en-GB"/>
        </w:rPr>
      </w:pPr>
      <w:bookmarkStart w:id="9" w:name="_Ref448144837"/>
      <w:r w:rsidRPr="00726323">
        <w:rPr>
          <w:szCs w:val="24"/>
          <w:highlight w:val="yellow"/>
          <w:lang w:eastAsia="en-GB"/>
        </w:rPr>
        <w:t xml:space="preserve">Upon receipt of the List, the Commission will contact the </w:t>
      </w:r>
      <w:r w:rsidR="00E926CE" w:rsidRPr="00726323">
        <w:rPr>
          <w:szCs w:val="24"/>
          <w:highlight w:val="yellow"/>
          <w:lang w:eastAsia="en-GB"/>
        </w:rPr>
        <w:t>Information Provider</w:t>
      </w:r>
      <w:r w:rsidRPr="00726323">
        <w:rPr>
          <w:szCs w:val="24"/>
          <w:highlight w:val="yellow"/>
          <w:lang w:eastAsia="en-GB"/>
        </w:rPr>
        <w:t xml:space="preserve"> and assess whether the information identified in the List can be disclosed. To the extent that the </w:t>
      </w:r>
      <w:r w:rsidR="00E926CE" w:rsidRPr="00726323">
        <w:rPr>
          <w:szCs w:val="24"/>
          <w:highlight w:val="yellow"/>
          <w:lang w:eastAsia="en-GB"/>
        </w:rPr>
        <w:t>Information Provider</w:t>
      </w:r>
      <w:r w:rsidRPr="00726323">
        <w:rPr>
          <w:szCs w:val="24"/>
          <w:highlight w:val="yellow"/>
          <w:lang w:eastAsia="en-GB"/>
        </w:rPr>
        <w:t xml:space="preserve"> does not object to the disclosure of the information, the </w:t>
      </w:r>
      <w:r w:rsidR="00E926CE" w:rsidRPr="00726323">
        <w:rPr>
          <w:szCs w:val="24"/>
          <w:highlight w:val="yellow"/>
          <w:lang w:eastAsia="en-GB"/>
        </w:rPr>
        <w:t>Information Provider</w:t>
      </w:r>
      <w:r w:rsidRPr="00726323">
        <w:rPr>
          <w:szCs w:val="24"/>
          <w:highlight w:val="yellow"/>
          <w:lang w:eastAsia="en-GB"/>
        </w:rPr>
        <w:t xml:space="preserve"> shall prepare and deliver it to the Commission within 10 working days from the Commission submitting the List to the </w:t>
      </w:r>
      <w:r w:rsidR="00E926CE" w:rsidRPr="00726323">
        <w:rPr>
          <w:szCs w:val="24"/>
          <w:highlight w:val="yellow"/>
          <w:lang w:eastAsia="en-GB"/>
        </w:rPr>
        <w:t>Information Provider</w:t>
      </w:r>
      <w:r w:rsidRPr="00726323">
        <w:rPr>
          <w:szCs w:val="24"/>
          <w:highlight w:val="yellow"/>
          <w:lang w:eastAsia="en-GB"/>
        </w:rPr>
        <w:t xml:space="preserve">. If the </w:t>
      </w:r>
      <w:r w:rsidR="00E926CE" w:rsidRPr="00726323">
        <w:rPr>
          <w:szCs w:val="24"/>
          <w:highlight w:val="yellow"/>
          <w:lang w:eastAsia="en-GB"/>
        </w:rPr>
        <w:t>Information Provider</w:t>
      </w:r>
      <w:r w:rsidRPr="00726323">
        <w:rPr>
          <w:szCs w:val="24"/>
          <w:highlight w:val="yellow"/>
          <w:lang w:eastAsia="en-GB"/>
        </w:rPr>
        <w:t xml:space="preserve"> fails to deliver to the Commission non-confidential versions of any of the Documents identified in the List within the deadline set in this Article, </w:t>
      </w:r>
      <w:r w:rsidR="005E42FB" w:rsidRPr="00726323">
        <w:rPr>
          <w:szCs w:val="24"/>
          <w:highlight w:val="yellow"/>
          <w:lang w:eastAsia="en-GB"/>
        </w:rPr>
        <w:t>the Commission may presume that the information contained in the Documents concerned should be accessible</w:t>
      </w:r>
      <w:r w:rsidRPr="00726323">
        <w:rPr>
          <w:szCs w:val="24"/>
          <w:highlight w:val="yellow"/>
          <w:lang w:eastAsia="en-GB"/>
        </w:rPr>
        <w:t>.</w:t>
      </w:r>
      <w:bookmarkEnd w:id="9"/>
      <w:r w:rsidRPr="00726323">
        <w:rPr>
          <w:szCs w:val="24"/>
          <w:highlight w:val="yellow"/>
          <w:lang w:eastAsia="en-GB"/>
        </w:rPr>
        <w:t xml:space="preserve"> </w:t>
      </w:r>
      <w:r w:rsidR="002D7BC0" w:rsidRPr="00726323">
        <w:rPr>
          <w:szCs w:val="24"/>
          <w:highlight w:val="yellow"/>
          <w:lang w:eastAsia="en-GB"/>
        </w:rPr>
        <w:t>The Commission will disclose the Documents to the SO Addressee in accordance with this agreement.</w:t>
      </w:r>
      <w:r w:rsidR="00C14902" w:rsidRPr="00726323">
        <w:rPr>
          <w:b/>
          <w:szCs w:val="24"/>
          <w:highlight w:val="yellow"/>
          <w:lang w:eastAsia="en-GB"/>
        </w:rPr>
        <w:t>]</w:t>
      </w:r>
    </w:p>
    <w:p w14:paraId="2CC379CC" w14:textId="1BEA5C66" w:rsidR="003D6A87" w:rsidRPr="00C14902" w:rsidRDefault="003D6A87">
      <w:pPr>
        <w:pStyle w:val="Header"/>
        <w:numPr>
          <w:ilvl w:val="0"/>
          <w:numId w:val="27"/>
        </w:numPr>
        <w:rPr>
          <w:szCs w:val="24"/>
          <w:lang w:eastAsia="en-GB"/>
        </w:rPr>
      </w:pPr>
      <w:r w:rsidRPr="00C14902">
        <w:rPr>
          <w:szCs w:val="24"/>
          <w:lang w:eastAsia="en-GB"/>
        </w:rPr>
        <w:t xml:space="preserve">To the extent that the </w:t>
      </w:r>
      <w:r w:rsidR="00E926CE" w:rsidRPr="00C14902">
        <w:rPr>
          <w:szCs w:val="24"/>
          <w:lang w:eastAsia="en-GB"/>
        </w:rPr>
        <w:t>Information Provider</w:t>
      </w:r>
      <w:r w:rsidRPr="00C14902">
        <w:rPr>
          <w:szCs w:val="24"/>
          <w:lang w:eastAsia="en-GB"/>
        </w:rPr>
        <w:t xml:space="preserve"> objects to disclosure of some of the information by showing that disclosure could cause serious commercial harm to the </w:t>
      </w:r>
      <w:r w:rsidR="00E926CE" w:rsidRPr="00C14902">
        <w:rPr>
          <w:szCs w:val="24"/>
          <w:lang w:eastAsia="en-GB"/>
        </w:rPr>
        <w:t>Information Provider</w:t>
      </w:r>
      <w:r w:rsidRPr="00C14902">
        <w:rPr>
          <w:szCs w:val="24"/>
          <w:lang w:eastAsia="en-GB"/>
        </w:rPr>
        <w:t>, the procedure set out in Article 8 of the Decision of the President of the European Commission of 13 October 2011 on the functions and terms of reference of the Hearing Officer in certain competition proceedings applies.</w:t>
      </w:r>
      <w:r w:rsidRPr="00C14902">
        <w:rPr>
          <w:szCs w:val="24"/>
          <w:vertAlign w:val="superscript"/>
          <w:lang w:eastAsia="en-GB"/>
        </w:rPr>
        <w:footnoteReference w:id="15"/>
      </w:r>
      <w:r w:rsidRPr="00C14902">
        <w:rPr>
          <w:szCs w:val="24"/>
          <w:lang w:eastAsia="en-GB"/>
        </w:rPr>
        <w:t xml:space="preserve"> This means that, with regard to that information, the Commission services will then assess whether the </w:t>
      </w:r>
      <w:r w:rsidR="00E926CE" w:rsidRPr="00C14902">
        <w:rPr>
          <w:szCs w:val="24"/>
          <w:lang w:eastAsia="en-GB"/>
        </w:rPr>
        <w:t>Information Provider</w:t>
      </w:r>
      <w:r w:rsidRPr="00C14902">
        <w:rPr>
          <w:szCs w:val="24"/>
          <w:lang w:eastAsia="en-GB"/>
        </w:rPr>
        <w:t xml:space="preserve">'s claim to confidential treatment of information outweighs the reasons provided by </w:t>
      </w:r>
      <w:r w:rsidR="002D7BC0" w:rsidRPr="00C14902">
        <w:rPr>
          <w:szCs w:val="24"/>
          <w:lang w:eastAsia="en-GB"/>
        </w:rPr>
        <w:t>the External Counsel</w:t>
      </w:r>
      <w:r w:rsidR="00670C97" w:rsidRPr="00C14902">
        <w:rPr>
          <w:szCs w:val="24"/>
          <w:lang w:eastAsia="en-GB"/>
        </w:rPr>
        <w:t xml:space="preserve"> </w:t>
      </w:r>
      <w:r w:rsidRPr="00C14902">
        <w:rPr>
          <w:szCs w:val="24"/>
          <w:lang w:eastAsia="en-GB"/>
        </w:rPr>
        <w:t xml:space="preserve">for making such information available to </w:t>
      </w:r>
      <w:r w:rsidR="002D7BC0" w:rsidRPr="00C14902">
        <w:rPr>
          <w:szCs w:val="24"/>
          <w:lang w:eastAsia="en-GB"/>
        </w:rPr>
        <w:t xml:space="preserve">the </w:t>
      </w:r>
      <w:r w:rsidRPr="00C14902">
        <w:rPr>
          <w:szCs w:val="24"/>
          <w:lang w:eastAsia="en-GB"/>
        </w:rPr>
        <w:t xml:space="preserve">SO Addressee in view of </w:t>
      </w:r>
      <w:r w:rsidR="002D7BC0" w:rsidRPr="00C14902">
        <w:rPr>
          <w:szCs w:val="24"/>
          <w:lang w:eastAsia="en-GB"/>
        </w:rPr>
        <w:t xml:space="preserve">its </w:t>
      </w:r>
      <w:r w:rsidRPr="00C14902">
        <w:rPr>
          <w:szCs w:val="24"/>
          <w:lang w:eastAsia="en-GB"/>
        </w:rPr>
        <w:t>rights of defence.</w:t>
      </w:r>
    </w:p>
    <w:p w14:paraId="62244C17" w14:textId="77777777" w:rsidR="003D6A87" w:rsidRPr="003D6A87" w:rsidRDefault="003D6A87">
      <w:pPr>
        <w:pStyle w:val="Header"/>
        <w:numPr>
          <w:ilvl w:val="0"/>
          <w:numId w:val="27"/>
        </w:numPr>
        <w:rPr>
          <w:szCs w:val="24"/>
          <w:lang w:eastAsia="en-GB"/>
        </w:rPr>
      </w:pPr>
      <w:r w:rsidRPr="003D6A87">
        <w:rPr>
          <w:szCs w:val="24"/>
          <w:lang w:eastAsia="en-GB"/>
        </w:rPr>
        <w:t>The Documents will not be copied or otherwise reproduced except to the extent such copying or reproduction is reasonably necessary for permitted uses under this Agreement, and all such copies or reproductions will be subject to the terms of this Agreement. If the duplication process by which copies or reproductions of the Documents are made does not itself preserve the possible confidentiality designations that may appear on the original Documents, all such copies or reproductions will be appropriately marked with those confidentiality designations. For the purposes of this Agreement and its Annexes, the expression “the Documents” covers, in addition to originals, any copies or reproductions of the Documents, even if made in contravention of this paragraph.</w:t>
      </w:r>
    </w:p>
    <w:p w14:paraId="2587EBF1" w14:textId="77777777" w:rsidR="003D6A87" w:rsidRPr="003D6A87" w:rsidRDefault="003D6A87">
      <w:pPr>
        <w:keepNext/>
        <w:keepLines/>
        <w:spacing w:after="200" w:line="276" w:lineRule="auto"/>
        <w:ind w:firstLine="720"/>
        <w:rPr>
          <w:b/>
          <w:szCs w:val="24"/>
          <w:lang w:eastAsia="en-GB"/>
        </w:rPr>
      </w:pPr>
      <w:r w:rsidRPr="003D6A87">
        <w:rPr>
          <w:b/>
          <w:szCs w:val="24"/>
          <w:lang w:eastAsia="en-GB"/>
        </w:rPr>
        <w:t>Liability</w:t>
      </w:r>
    </w:p>
    <w:p w14:paraId="6A73515E" w14:textId="4F57B776" w:rsidR="003D6A87" w:rsidRPr="003D6A87" w:rsidRDefault="003D6A87">
      <w:pPr>
        <w:pStyle w:val="Header"/>
        <w:numPr>
          <w:ilvl w:val="0"/>
          <w:numId w:val="27"/>
        </w:numPr>
        <w:rPr>
          <w:szCs w:val="24"/>
          <w:lang w:eastAsia="en-GB"/>
        </w:rPr>
      </w:pPr>
      <w:r w:rsidRPr="003D6A87">
        <w:rPr>
          <w:szCs w:val="24"/>
          <w:lang w:eastAsia="en-GB"/>
        </w:rPr>
        <w:t xml:space="preserve">Members will take all necessary measures to ensure that the Documents are kept so as to avoid unauthorised disclosure. The </w:t>
      </w:r>
      <w:r w:rsidR="00E926CE">
        <w:rPr>
          <w:szCs w:val="24"/>
          <w:lang w:eastAsia="en-GB"/>
        </w:rPr>
        <w:t>Information Provider</w:t>
      </w:r>
      <w:r w:rsidRPr="003D6A87">
        <w:rPr>
          <w:szCs w:val="24"/>
          <w:lang w:eastAsia="en-GB"/>
        </w:rPr>
        <w:t xml:space="preserve"> has a right to claim damages and such other relief as may be available from the Members and their firm or employer for any unlawful disclosure of the Documents or parts thereof in contravention of this Agreement. </w:t>
      </w:r>
    </w:p>
    <w:p w14:paraId="650574AA" w14:textId="732614F0" w:rsidR="003D6A87" w:rsidRPr="003D6A87" w:rsidRDefault="003D6A87">
      <w:pPr>
        <w:pStyle w:val="Header"/>
        <w:numPr>
          <w:ilvl w:val="0"/>
          <w:numId w:val="27"/>
        </w:numPr>
        <w:rPr>
          <w:szCs w:val="24"/>
          <w:lang w:eastAsia="en-GB"/>
        </w:rPr>
      </w:pPr>
      <w:r w:rsidRPr="003D6A87">
        <w:rPr>
          <w:szCs w:val="24"/>
          <w:lang w:eastAsia="en-GB"/>
        </w:rPr>
        <w:t>Disclosure pursuant to and to the extent required under the terms of an order issued by a court of a competent jurisdiction or by a competent regulatory authority shall not constitute a violation of the Members’ obligations under this Agreement.</w:t>
      </w:r>
    </w:p>
    <w:p w14:paraId="1D597EB8" w14:textId="77777777" w:rsidR="003D6A87" w:rsidRPr="003D6A87" w:rsidRDefault="003D6A87">
      <w:pPr>
        <w:spacing w:after="200" w:line="276" w:lineRule="auto"/>
        <w:ind w:firstLine="720"/>
        <w:rPr>
          <w:b/>
          <w:szCs w:val="24"/>
          <w:lang w:eastAsia="en-GB"/>
        </w:rPr>
      </w:pPr>
      <w:r w:rsidRPr="003D6A87">
        <w:rPr>
          <w:b/>
          <w:szCs w:val="24"/>
          <w:lang w:eastAsia="en-GB"/>
        </w:rPr>
        <w:t>Waiver of lawyer-client disclosure duty</w:t>
      </w:r>
    </w:p>
    <w:p w14:paraId="0D5F0DF9" w14:textId="498FC4C5" w:rsidR="003D6A87" w:rsidRPr="003D6A87" w:rsidRDefault="003D6A87">
      <w:pPr>
        <w:pStyle w:val="Header"/>
        <w:numPr>
          <w:ilvl w:val="0"/>
          <w:numId w:val="27"/>
        </w:numPr>
        <w:rPr>
          <w:szCs w:val="24"/>
          <w:lang w:eastAsia="en-GB"/>
        </w:rPr>
      </w:pPr>
      <w:bookmarkStart w:id="10" w:name="_Ref447397674"/>
      <w:r w:rsidRPr="003D6A87">
        <w:rPr>
          <w:szCs w:val="24"/>
          <w:lang w:eastAsia="en-GB"/>
        </w:rPr>
        <w:t xml:space="preserve">The SO Addressee hereby releases </w:t>
      </w:r>
      <w:r w:rsidR="00680D80">
        <w:rPr>
          <w:szCs w:val="24"/>
          <w:lang w:eastAsia="en-GB"/>
        </w:rPr>
        <w:t>any</w:t>
      </w:r>
      <w:r w:rsidR="00680D80" w:rsidRPr="003D6A87">
        <w:rPr>
          <w:szCs w:val="24"/>
          <w:lang w:eastAsia="en-GB"/>
        </w:rPr>
        <w:t xml:space="preserve"> </w:t>
      </w:r>
      <w:r w:rsidRPr="003D6A87">
        <w:rPr>
          <w:szCs w:val="24"/>
          <w:lang w:eastAsia="en-GB"/>
        </w:rPr>
        <w:t xml:space="preserve">External Counsel </w:t>
      </w:r>
      <w:r w:rsidR="00680D80">
        <w:rPr>
          <w:szCs w:val="24"/>
          <w:lang w:eastAsia="en-GB"/>
        </w:rPr>
        <w:t>who are Members and their</w:t>
      </w:r>
      <w:r w:rsidRPr="003D6A87">
        <w:rPr>
          <w:szCs w:val="24"/>
          <w:lang w:eastAsia="en-GB"/>
        </w:rPr>
        <w:t xml:space="preserve"> law firm</w:t>
      </w:r>
      <w:r w:rsidR="00680D80">
        <w:rPr>
          <w:szCs w:val="24"/>
          <w:lang w:eastAsia="en-GB"/>
        </w:rPr>
        <w:t>s</w:t>
      </w:r>
      <w:r w:rsidRPr="003D6A87">
        <w:rPr>
          <w:szCs w:val="24"/>
          <w:lang w:eastAsia="en-GB"/>
        </w:rPr>
        <w:t xml:space="preserve"> from any professional duties and obligations to disclose to it information contained in the Documents subject to the negotiated disclosure procedure. The SO Addressee will undertake any required or advisable action and execute any required or advisable document to effect the release described in this Article</w:t>
      </w:r>
      <w:bookmarkEnd w:id="10"/>
      <w:r w:rsidRPr="003D6A87">
        <w:rPr>
          <w:szCs w:val="24"/>
          <w:lang w:eastAsia="en-GB"/>
        </w:rPr>
        <w:t xml:space="preserve">. The SO Addressee shall refrain from issuing any instruction to </w:t>
      </w:r>
      <w:r w:rsidR="00680D80">
        <w:rPr>
          <w:szCs w:val="24"/>
          <w:lang w:eastAsia="en-GB"/>
        </w:rPr>
        <w:t>any</w:t>
      </w:r>
      <w:r w:rsidRPr="003D6A87">
        <w:rPr>
          <w:szCs w:val="24"/>
          <w:lang w:eastAsia="en-GB"/>
        </w:rPr>
        <w:t xml:space="preserve"> Members which may result in the violation of this Agreement. </w:t>
      </w:r>
    </w:p>
    <w:p w14:paraId="12A7B49E" w14:textId="77777777" w:rsidR="003D6A87" w:rsidRPr="003D6A87" w:rsidRDefault="003D6A87">
      <w:pPr>
        <w:pStyle w:val="Header"/>
        <w:numPr>
          <w:ilvl w:val="0"/>
          <w:numId w:val="27"/>
        </w:numPr>
        <w:rPr>
          <w:szCs w:val="24"/>
          <w:lang w:eastAsia="en-GB"/>
        </w:rPr>
      </w:pPr>
      <w:r w:rsidRPr="003D6A87">
        <w:rPr>
          <w:szCs w:val="24"/>
          <w:lang w:eastAsia="en-GB"/>
        </w:rPr>
        <w:t>This Agreement will be governed by and construed in accordance with the [</w:t>
      </w:r>
      <w:r w:rsidRPr="003D6A87">
        <w:rPr>
          <w:szCs w:val="24"/>
          <w:highlight w:val="yellow"/>
          <w:lang w:eastAsia="en-GB"/>
        </w:rPr>
        <w:t>LAW</w:t>
      </w:r>
      <w:r w:rsidRPr="003D6A87">
        <w:rPr>
          <w:szCs w:val="24"/>
          <w:lang w:eastAsia="en-GB"/>
        </w:rPr>
        <w:t>]. All disputes arising out of or in connection with the Agreement shall be finally settled under the Rules of Arbitration of the International Chamber of Commerce by three (3) arbitrators appointed in accordance with the said Rules. The place of arbitration is [</w:t>
      </w:r>
      <w:r w:rsidRPr="003D6A87">
        <w:rPr>
          <w:szCs w:val="24"/>
          <w:highlight w:val="yellow"/>
          <w:lang w:eastAsia="en-GB"/>
        </w:rPr>
        <w:t>PLACE</w:t>
      </w:r>
      <w:r w:rsidRPr="003D6A87">
        <w:rPr>
          <w:szCs w:val="24"/>
          <w:lang w:eastAsia="en-GB"/>
        </w:rPr>
        <w:t>]. The language of the arbitral proceedings is [</w:t>
      </w:r>
      <w:r w:rsidRPr="003D6A87">
        <w:rPr>
          <w:szCs w:val="24"/>
          <w:highlight w:val="yellow"/>
          <w:lang w:eastAsia="en-GB"/>
        </w:rPr>
        <w:t>LANGUAGE</w:t>
      </w:r>
      <w:r w:rsidRPr="003D6A87">
        <w:rPr>
          <w:szCs w:val="24"/>
          <w:lang w:eastAsia="en-GB"/>
        </w:rPr>
        <w:t>]</w:t>
      </w:r>
    </w:p>
    <w:p w14:paraId="46C8DCDA" w14:textId="2B7CA757" w:rsidR="003D6A87" w:rsidRPr="003D6A87" w:rsidRDefault="003D6A87">
      <w:pPr>
        <w:spacing w:after="200" w:line="276" w:lineRule="auto"/>
        <w:ind w:left="720"/>
        <w:rPr>
          <w:szCs w:val="24"/>
          <w:lang w:eastAsia="en-GB"/>
        </w:rPr>
      </w:pPr>
      <w:r w:rsidRPr="003D6A87">
        <w:rPr>
          <w:szCs w:val="24"/>
          <w:lang w:eastAsia="en-GB"/>
        </w:rPr>
        <w:t>On behalf of [</w:t>
      </w:r>
      <w:r w:rsidRPr="003D6A87">
        <w:rPr>
          <w:szCs w:val="24"/>
          <w:highlight w:val="yellow"/>
          <w:lang w:eastAsia="en-GB"/>
        </w:rPr>
        <w:t>SO ADDRESSEE</w:t>
      </w:r>
      <w:r w:rsidRPr="003D6A87">
        <w:rPr>
          <w:szCs w:val="24"/>
          <w:lang w:eastAsia="en-GB"/>
        </w:rPr>
        <w:t>]</w:t>
      </w:r>
      <w:r w:rsidRPr="003D6A87">
        <w:rPr>
          <w:szCs w:val="24"/>
          <w:lang w:eastAsia="en-GB"/>
        </w:rPr>
        <w:tab/>
      </w:r>
      <w:r w:rsidRPr="003D6A87">
        <w:rPr>
          <w:szCs w:val="24"/>
          <w:lang w:eastAsia="en-GB"/>
        </w:rPr>
        <w:tab/>
        <w:t>On behalf of [</w:t>
      </w:r>
      <w:r w:rsidR="00E926CE">
        <w:rPr>
          <w:szCs w:val="24"/>
          <w:highlight w:val="yellow"/>
          <w:lang w:eastAsia="en-GB"/>
        </w:rPr>
        <w:t>INFORMATION PROVIDER</w:t>
      </w:r>
      <w:r w:rsidRPr="003D6A87">
        <w:rPr>
          <w:szCs w:val="24"/>
          <w:lang w:eastAsia="en-GB"/>
        </w:rPr>
        <w:t xml:space="preserve">] </w:t>
      </w:r>
    </w:p>
    <w:p w14:paraId="22CD6DAA" w14:textId="77777777" w:rsidR="003D6A87" w:rsidRPr="003D6A87" w:rsidRDefault="003D6A87">
      <w:pPr>
        <w:spacing w:after="200" w:line="276" w:lineRule="auto"/>
        <w:ind w:left="720"/>
        <w:rPr>
          <w:szCs w:val="24"/>
          <w:lang w:eastAsia="en-GB"/>
        </w:rPr>
      </w:pPr>
    </w:p>
    <w:p w14:paraId="3DF4DDC3" w14:textId="196C40B2" w:rsidR="003D6A87" w:rsidRPr="003D6A87" w:rsidRDefault="003D6A87">
      <w:pPr>
        <w:spacing w:after="200" w:line="276" w:lineRule="auto"/>
        <w:ind w:left="720"/>
        <w:rPr>
          <w:szCs w:val="24"/>
          <w:lang w:eastAsia="en-GB"/>
        </w:rPr>
      </w:pPr>
      <w:r w:rsidRPr="003D6A87">
        <w:rPr>
          <w:szCs w:val="24"/>
          <w:lang w:eastAsia="en-GB"/>
        </w:rPr>
        <w:t>………………………………</w:t>
      </w:r>
      <w:r w:rsidRPr="003D6A87">
        <w:rPr>
          <w:szCs w:val="24"/>
          <w:lang w:eastAsia="en-GB"/>
        </w:rPr>
        <w:tab/>
      </w:r>
      <w:r w:rsidRPr="003D6A87">
        <w:rPr>
          <w:szCs w:val="24"/>
          <w:lang w:eastAsia="en-GB"/>
        </w:rPr>
        <w:tab/>
        <w:t>………………………………</w:t>
      </w:r>
    </w:p>
    <w:p w14:paraId="75EC54DC" w14:textId="77777777" w:rsidR="003D6A87" w:rsidRPr="003D6A87" w:rsidRDefault="003D6A87">
      <w:pPr>
        <w:spacing w:after="200" w:line="276" w:lineRule="auto"/>
        <w:ind w:left="720"/>
        <w:rPr>
          <w:szCs w:val="24"/>
          <w:lang w:eastAsia="en-GB"/>
        </w:rPr>
      </w:pPr>
      <w:r w:rsidRPr="003D6A87">
        <w:rPr>
          <w:szCs w:val="24"/>
          <w:lang w:eastAsia="en-GB"/>
        </w:rPr>
        <w:t>Name:</w:t>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t>Name:</w:t>
      </w:r>
    </w:p>
    <w:p w14:paraId="06805FA8" w14:textId="77777777" w:rsidR="003D6A87" w:rsidRPr="003D6A87" w:rsidRDefault="003D6A87">
      <w:pPr>
        <w:spacing w:after="200" w:line="276" w:lineRule="auto"/>
        <w:ind w:left="720"/>
        <w:rPr>
          <w:szCs w:val="24"/>
          <w:lang w:eastAsia="en-GB"/>
        </w:rPr>
      </w:pPr>
      <w:r w:rsidRPr="003D6A87">
        <w:rPr>
          <w:szCs w:val="24"/>
          <w:lang w:eastAsia="en-GB"/>
        </w:rPr>
        <w:t>Function:</w:t>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t>Function:</w:t>
      </w:r>
    </w:p>
    <w:p w14:paraId="05E25A85" w14:textId="77777777" w:rsidR="003D6A87" w:rsidRPr="003D6A87" w:rsidRDefault="003D6A87">
      <w:pPr>
        <w:spacing w:after="200" w:line="276" w:lineRule="auto"/>
        <w:ind w:left="720"/>
        <w:rPr>
          <w:szCs w:val="24"/>
          <w:lang w:eastAsia="en-GB"/>
        </w:rPr>
      </w:pPr>
      <w:r w:rsidRPr="003D6A87">
        <w:rPr>
          <w:szCs w:val="24"/>
          <w:lang w:eastAsia="en-GB"/>
        </w:rPr>
        <w:t>Date:</w:t>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t>Date:</w:t>
      </w:r>
    </w:p>
    <w:p w14:paraId="57B7536B" w14:textId="77777777" w:rsidR="003D6A87" w:rsidRPr="003D6A87" w:rsidRDefault="003D6A87">
      <w:pPr>
        <w:spacing w:after="200" w:line="276" w:lineRule="auto"/>
        <w:ind w:firstLine="720"/>
        <w:rPr>
          <w:szCs w:val="24"/>
          <w:lang w:eastAsia="en-GB"/>
        </w:rPr>
      </w:pPr>
      <w:r w:rsidRPr="003D6A87">
        <w:rPr>
          <w:szCs w:val="24"/>
          <w:lang w:eastAsia="en-GB"/>
        </w:rPr>
        <w:t>Place:</w:t>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t>Place:</w:t>
      </w:r>
    </w:p>
    <w:p w14:paraId="2F080511" w14:textId="77777777" w:rsidR="003D6A87" w:rsidRPr="003D6A87" w:rsidRDefault="003D6A87">
      <w:pPr>
        <w:spacing w:after="200" w:line="276" w:lineRule="auto"/>
        <w:rPr>
          <w:szCs w:val="24"/>
          <w:lang w:eastAsia="en-GB"/>
        </w:rPr>
      </w:pPr>
    </w:p>
    <w:p w14:paraId="61B724CE" w14:textId="77777777" w:rsidR="003D6A87" w:rsidRPr="003D6A87" w:rsidRDefault="003D6A87" w:rsidP="00726323">
      <w:pPr>
        <w:spacing w:after="0"/>
        <w:rPr>
          <w:i/>
          <w:szCs w:val="24"/>
          <w:lang w:eastAsia="en-GB"/>
        </w:rPr>
      </w:pPr>
      <w:r w:rsidRPr="003D6A87">
        <w:rPr>
          <w:i/>
          <w:szCs w:val="24"/>
          <w:lang w:eastAsia="en-GB"/>
        </w:rPr>
        <w:br w:type="page"/>
      </w:r>
    </w:p>
    <w:p w14:paraId="4A0BE58D" w14:textId="77777777" w:rsidR="003D6A87" w:rsidRPr="003D6A87" w:rsidRDefault="003D6A87">
      <w:pPr>
        <w:spacing w:after="0"/>
        <w:rPr>
          <w:rFonts w:eastAsia="Calibri"/>
          <w:szCs w:val="24"/>
          <w:lang w:eastAsia="en-GB"/>
        </w:rPr>
      </w:pPr>
    </w:p>
    <w:p w14:paraId="45722F95" w14:textId="77777777" w:rsidR="003D6A87" w:rsidRPr="003D6A87" w:rsidRDefault="003D6A87">
      <w:pPr>
        <w:spacing w:after="0"/>
        <w:rPr>
          <w:rFonts w:eastAsia="Calibri"/>
          <w:b/>
          <w:szCs w:val="24"/>
          <w:lang w:eastAsia="en-GB"/>
        </w:rPr>
      </w:pPr>
      <w:r w:rsidRPr="003D6A87">
        <w:rPr>
          <w:rFonts w:eastAsia="Calibri"/>
          <w:b/>
          <w:szCs w:val="24"/>
          <w:lang w:eastAsia="en-GB"/>
        </w:rPr>
        <w:t>DECLARATION OF [</w:t>
      </w:r>
      <w:r w:rsidRPr="003D6A87">
        <w:rPr>
          <w:rFonts w:eastAsia="Calibri"/>
          <w:b/>
          <w:szCs w:val="24"/>
          <w:highlight w:val="yellow"/>
          <w:lang w:eastAsia="en-GB"/>
        </w:rPr>
        <w:t>SO ADDRESSEE(S)</w:t>
      </w:r>
      <w:r w:rsidRPr="003D6A87">
        <w:rPr>
          <w:rFonts w:eastAsia="Calibri"/>
          <w:b/>
          <w:szCs w:val="24"/>
          <w:lang w:eastAsia="en-GB"/>
        </w:rPr>
        <w:t>] VIS-A-VIS THE EUROPEAN COMMISSION</w:t>
      </w:r>
    </w:p>
    <w:p w14:paraId="48984D68" w14:textId="77777777" w:rsidR="003D6A87" w:rsidRPr="003D6A87" w:rsidRDefault="003D6A87">
      <w:pPr>
        <w:spacing w:after="0"/>
        <w:rPr>
          <w:rFonts w:eastAsia="Calibri"/>
          <w:szCs w:val="24"/>
          <w:lang w:eastAsia="en-GB"/>
        </w:rPr>
      </w:pPr>
    </w:p>
    <w:p w14:paraId="15DE664D" w14:textId="17F25A2D" w:rsidR="003D6A87" w:rsidRPr="003D6A87" w:rsidRDefault="003D6A87">
      <w:pPr>
        <w:spacing w:after="0"/>
        <w:rPr>
          <w:szCs w:val="24"/>
          <w:lang w:eastAsia="en-GB"/>
        </w:rPr>
      </w:pPr>
      <w:r w:rsidRPr="003D6A87">
        <w:rPr>
          <w:szCs w:val="24"/>
          <w:lang w:eastAsia="en-GB"/>
        </w:rPr>
        <w:t>[</w:t>
      </w:r>
      <w:r w:rsidRPr="003D6A87">
        <w:rPr>
          <w:szCs w:val="24"/>
          <w:highlight w:val="yellow"/>
          <w:lang w:eastAsia="en-GB"/>
        </w:rPr>
        <w:t>NAME</w:t>
      </w:r>
      <w:r w:rsidRPr="003D6A87">
        <w:rPr>
          <w:szCs w:val="24"/>
          <w:lang w:eastAsia="en-GB"/>
        </w:rPr>
        <w:t>], a [</w:t>
      </w:r>
      <w:r w:rsidRPr="003D6A87">
        <w:rPr>
          <w:szCs w:val="24"/>
          <w:highlight w:val="yellow"/>
          <w:lang w:eastAsia="en-GB"/>
        </w:rPr>
        <w:t>PLACE OF ESTABL</w:t>
      </w:r>
      <w:r w:rsidR="00B83551">
        <w:rPr>
          <w:szCs w:val="24"/>
          <w:highlight w:val="yellow"/>
          <w:lang w:eastAsia="en-GB"/>
        </w:rPr>
        <w:t>I</w:t>
      </w:r>
      <w:r w:rsidRPr="003D6A87">
        <w:rPr>
          <w:szCs w:val="24"/>
          <w:highlight w:val="yellow"/>
          <w:lang w:eastAsia="en-GB"/>
        </w:rPr>
        <w:t>SHMENT</w:t>
      </w:r>
      <w:r w:rsidRPr="003D6A87">
        <w:rPr>
          <w:szCs w:val="24"/>
          <w:lang w:eastAsia="en-GB"/>
        </w:rPr>
        <w:t>] corporation, with its principal place of business at [</w:t>
      </w:r>
      <w:r w:rsidRPr="003D6A87">
        <w:rPr>
          <w:szCs w:val="24"/>
          <w:highlight w:val="yellow"/>
          <w:lang w:eastAsia="en-GB"/>
        </w:rPr>
        <w:t>ADDRESS</w:t>
      </w:r>
      <w:r w:rsidRPr="003D6A87">
        <w:rPr>
          <w:szCs w:val="24"/>
          <w:lang w:eastAsia="en-GB"/>
        </w:rPr>
        <w:t>], duly represented by [</w:t>
      </w:r>
      <w:r w:rsidRPr="003D6A87">
        <w:rPr>
          <w:szCs w:val="24"/>
          <w:highlight w:val="yellow"/>
          <w:lang w:eastAsia="en-GB"/>
        </w:rPr>
        <w:t>AUTHORIZED REPRESENTATIVE</w:t>
      </w:r>
      <w:r w:rsidRPr="003D6A87">
        <w:rPr>
          <w:szCs w:val="24"/>
          <w:lang w:eastAsia="en-GB"/>
        </w:rPr>
        <w:t>] (“</w:t>
      </w:r>
      <w:r w:rsidRPr="003D6A87">
        <w:rPr>
          <w:b/>
          <w:szCs w:val="24"/>
          <w:lang w:eastAsia="en-GB"/>
        </w:rPr>
        <w:t>[</w:t>
      </w:r>
      <w:r w:rsidRPr="003D6A87">
        <w:rPr>
          <w:b/>
          <w:szCs w:val="24"/>
          <w:highlight w:val="yellow"/>
          <w:lang w:eastAsia="en-GB"/>
        </w:rPr>
        <w:t>NAME</w:t>
      </w:r>
      <w:r w:rsidRPr="003D6A87">
        <w:rPr>
          <w:b/>
          <w:szCs w:val="24"/>
          <w:lang w:eastAsia="en-GB"/>
        </w:rPr>
        <w:t>]</w:t>
      </w:r>
      <w:r w:rsidRPr="003D6A87">
        <w:rPr>
          <w:szCs w:val="24"/>
          <w:lang w:eastAsia="en-GB"/>
        </w:rPr>
        <w:t>”)</w:t>
      </w:r>
    </w:p>
    <w:p w14:paraId="10075172" w14:textId="77777777" w:rsidR="003D6A87" w:rsidRPr="003D6A87" w:rsidRDefault="003D6A87">
      <w:pPr>
        <w:spacing w:after="0"/>
        <w:rPr>
          <w:szCs w:val="24"/>
          <w:lang w:eastAsia="en-GB"/>
        </w:rPr>
      </w:pPr>
    </w:p>
    <w:p w14:paraId="03CC421B" w14:textId="77777777" w:rsidR="003D6A87" w:rsidRPr="003D6A87" w:rsidRDefault="003D6A87">
      <w:pPr>
        <w:spacing w:after="0"/>
        <w:rPr>
          <w:rFonts w:eastAsia="Calibri"/>
          <w:szCs w:val="24"/>
          <w:lang w:eastAsia="en-GB"/>
        </w:rPr>
      </w:pPr>
      <w:r w:rsidRPr="003D6A87">
        <w:rPr>
          <w:rFonts w:eastAsia="Calibri"/>
          <w:szCs w:val="24"/>
          <w:lang w:eastAsia="en-GB"/>
        </w:rPr>
        <w:t>Hereby declares with regard to the procedure in the Case AT.</w:t>
      </w:r>
      <w:r w:rsidRPr="003D6A87">
        <w:rPr>
          <w:szCs w:val="24"/>
          <w:lang w:eastAsia="en-GB"/>
        </w:rPr>
        <w:t>[</w:t>
      </w:r>
      <w:r w:rsidRPr="003D6A87">
        <w:rPr>
          <w:szCs w:val="24"/>
          <w:highlight w:val="yellow"/>
          <w:lang w:eastAsia="en-GB"/>
        </w:rPr>
        <w:t>NUMBER</w:t>
      </w:r>
      <w:r w:rsidRPr="003D6A87">
        <w:rPr>
          <w:szCs w:val="24"/>
          <w:lang w:eastAsia="en-GB"/>
        </w:rPr>
        <w:t>] – [</w:t>
      </w:r>
      <w:r w:rsidRPr="003D6A87">
        <w:rPr>
          <w:szCs w:val="24"/>
          <w:highlight w:val="yellow"/>
          <w:lang w:eastAsia="en-GB"/>
        </w:rPr>
        <w:t>NAME</w:t>
      </w:r>
      <w:r w:rsidRPr="003D6A87">
        <w:rPr>
          <w:szCs w:val="24"/>
          <w:lang w:eastAsia="en-GB"/>
        </w:rPr>
        <w:t>]</w:t>
      </w:r>
      <w:r w:rsidRPr="003D6A87">
        <w:rPr>
          <w:rFonts w:eastAsia="Calibri"/>
          <w:szCs w:val="24"/>
          <w:lang w:eastAsia="en-GB"/>
        </w:rPr>
        <w:t>:</w:t>
      </w:r>
    </w:p>
    <w:p w14:paraId="4E10C86B" w14:textId="77777777" w:rsidR="003D6A87" w:rsidRPr="003D6A87" w:rsidRDefault="003D6A87">
      <w:pPr>
        <w:spacing w:after="0"/>
        <w:rPr>
          <w:rFonts w:eastAsia="Calibri"/>
          <w:szCs w:val="24"/>
          <w:lang w:eastAsia="en-GB"/>
        </w:rPr>
      </w:pPr>
    </w:p>
    <w:p w14:paraId="74E59D11" w14:textId="047746C3" w:rsidR="003D6A87" w:rsidRPr="003D6A87" w:rsidRDefault="003D6A87">
      <w:pPr>
        <w:spacing w:after="0"/>
        <w:rPr>
          <w:rFonts w:eastAsia="Calibri"/>
          <w:szCs w:val="24"/>
          <w:lang w:eastAsia="en-GB"/>
        </w:rPr>
      </w:pPr>
      <w:r w:rsidRPr="003D6A87">
        <w:rPr>
          <w:rFonts w:eastAsia="Calibri"/>
          <w:szCs w:val="24"/>
          <w:lang w:eastAsia="en-GB"/>
        </w:rPr>
        <w:t>[</w:t>
      </w:r>
      <w:r w:rsidRPr="003D6A87">
        <w:rPr>
          <w:rFonts w:eastAsia="Calibri"/>
          <w:szCs w:val="24"/>
          <w:highlight w:val="yellow"/>
          <w:lang w:eastAsia="en-GB"/>
        </w:rPr>
        <w:t>NAME</w:t>
      </w:r>
      <w:r w:rsidRPr="003D6A87">
        <w:rPr>
          <w:rFonts w:eastAsia="Calibri"/>
          <w:szCs w:val="24"/>
          <w:lang w:eastAsia="en-GB"/>
        </w:rPr>
        <w:t>] agrees to exercise its rights to access to file as regards the Documents as defined below solely in accordance with the terms set out in the draft Negotiated Disclosure Agreement annexed hereto, which, further to this Declaration, [</w:t>
      </w:r>
      <w:r w:rsidRPr="003D6A87">
        <w:rPr>
          <w:rFonts w:eastAsia="Calibri"/>
          <w:szCs w:val="24"/>
          <w:highlight w:val="yellow"/>
          <w:lang w:eastAsia="en-GB"/>
        </w:rPr>
        <w:t>SO ADDRESSEE(S)</w:t>
      </w:r>
      <w:r w:rsidRPr="003D6A87">
        <w:rPr>
          <w:rFonts w:eastAsia="Calibri"/>
          <w:szCs w:val="24"/>
          <w:lang w:eastAsia="en-GB"/>
        </w:rPr>
        <w:t>] intends to enter into with [</w:t>
      </w:r>
      <w:r w:rsidRPr="003D6A87">
        <w:rPr>
          <w:rFonts w:eastAsia="Calibri"/>
          <w:szCs w:val="24"/>
          <w:highlight w:val="yellow"/>
          <w:lang w:eastAsia="en-GB"/>
        </w:rPr>
        <w:t xml:space="preserve">NAME </w:t>
      </w:r>
      <w:r w:rsidR="00E926CE">
        <w:rPr>
          <w:rFonts w:eastAsia="Calibri"/>
          <w:szCs w:val="24"/>
          <w:highlight w:val="yellow"/>
          <w:lang w:eastAsia="en-GB"/>
        </w:rPr>
        <w:t>INFORMATION PROVIDER</w:t>
      </w:r>
      <w:r w:rsidRPr="003D6A87">
        <w:rPr>
          <w:rFonts w:eastAsia="Calibri"/>
          <w:szCs w:val="24"/>
          <w:lang w:eastAsia="en-GB"/>
        </w:rPr>
        <w:t>]</w:t>
      </w:r>
      <w:r w:rsidRPr="003D6A87">
        <w:rPr>
          <w:szCs w:val="24"/>
          <w:lang w:eastAsia="en-GB"/>
        </w:rPr>
        <w:t xml:space="preserve"> a [</w:t>
      </w:r>
      <w:r w:rsidRPr="003D6A87">
        <w:rPr>
          <w:szCs w:val="24"/>
          <w:highlight w:val="yellow"/>
          <w:lang w:eastAsia="en-GB"/>
        </w:rPr>
        <w:t>PLACE OF ESTABLISHMENT</w:t>
      </w:r>
      <w:r w:rsidRPr="003D6A87">
        <w:rPr>
          <w:szCs w:val="24"/>
          <w:lang w:eastAsia="en-GB"/>
        </w:rPr>
        <w:t>] corporation, with its principal place of business at [</w:t>
      </w:r>
      <w:r w:rsidRPr="003D6A87">
        <w:rPr>
          <w:szCs w:val="24"/>
          <w:highlight w:val="yellow"/>
          <w:lang w:eastAsia="en-GB"/>
        </w:rPr>
        <w:t>ADDRESS</w:t>
      </w:r>
      <w:r w:rsidRPr="003D6A87">
        <w:rPr>
          <w:szCs w:val="24"/>
          <w:lang w:eastAsia="en-GB"/>
        </w:rPr>
        <w:t>] (the "</w:t>
      </w:r>
      <w:r w:rsidR="00E926CE">
        <w:rPr>
          <w:b/>
          <w:szCs w:val="24"/>
          <w:lang w:eastAsia="en-GB"/>
        </w:rPr>
        <w:t>Information Provider</w:t>
      </w:r>
      <w:r w:rsidRPr="003D6A87">
        <w:rPr>
          <w:szCs w:val="24"/>
          <w:lang w:eastAsia="en-GB"/>
        </w:rPr>
        <w:t>")</w:t>
      </w:r>
      <w:r w:rsidRPr="003D6A87">
        <w:rPr>
          <w:rFonts w:eastAsia="Calibri"/>
          <w:szCs w:val="24"/>
          <w:lang w:eastAsia="en-GB"/>
        </w:rPr>
        <w:t>.</w:t>
      </w:r>
    </w:p>
    <w:p w14:paraId="27C77A1B" w14:textId="77777777" w:rsidR="003D6A87" w:rsidRPr="003D6A87" w:rsidRDefault="003D6A87">
      <w:pPr>
        <w:spacing w:after="0"/>
        <w:rPr>
          <w:rFonts w:eastAsia="Calibri"/>
          <w:szCs w:val="24"/>
          <w:lang w:eastAsia="en-GB"/>
        </w:rPr>
      </w:pPr>
    </w:p>
    <w:p w14:paraId="2AA42B10" w14:textId="6B646A4A" w:rsidR="003D6A87" w:rsidRPr="003D6A87" w:rsidRDefault="003D6A87">
      <w:pPr>
        <w:spacing w:after="0"/>
        <w:rPr>
          <w:rFonts w:eastAsia="Calibri"/>
          <w:szCs w:val="24"/>
          <w:lang w:eastAsia="en-GB"/>
        </w:rPr>
      </w:pPr>
      <w:r w:rsidRPr="003D6A87">
        <w:rPr>
          <w:rFonts w:eastAsia="Calibri"/>
          <w:szCs w:val="24"/>
          <w:lang w:eastAsia="en-GB"/>
        </w:rPr>
        <w:t>[</w:t>
      </w:r>
      <w:r w:rsidRPr="003D6A87">
        <w:rPr>
          <w:rFonts w:eastAsia="Calibri"/>
          <w:szCs w:val="24"/>
          <w:highlight w:val="yellow"/>
          <w:lang w:eastAsia="en-GB"/>
        </w:rPr>
        <w:t>NAME</w:t>
      </w:r>
      <w:r w:rsidRPr="003D6A87">
        <w:rPr>
          <w:rFonts w:eastAsia="Calibri"/>
          <w:szCs w:val="24"/>
          <w:lang w:eastAsia="en-GB"/>
        </w:rPr>
        <w:t>] agrees that the Commission, by acting in accordance with the disclosure procedure set out in the draft Negotiated Disclosure Agreement would comply with its obligation to provide access to the file as set out in Council Regulation (EC) No 1/2003, Commission Regulation (EC) No 773/2004 and the Commission Notice on Access to File, as regards the Documents.</w:t>
      </w:r>
    </w:p>
    <w:p w14:paraId="7714C2B3" w14:textId="77777777" w:rsidR="003D6A87" w:rsidRPr="003D6A87" w:rsidRDefault="003D6A87">
      <w:pPr>
        <w:spacing w:after="0"/>
        <w:rPr>
          <w:rFonts w:eastAsia="Calibri"/>
          <w:szCs w:val="24"/>
          <w:lang w:eastAsia="en-GB"/>
        </w:rPr>
      </w:pPr>
    </w:p>
    <w:p w14:paraId="727E4E93" w14:textId="77777777" w:rsidR="003D6A87" w:rsidRPr="003D6A87" w:rsidRDefault="003D6A87">
      <w:pPr>
        <w:spacing w:after="0"/>
        <w:rPr>
          <w:rFonts w:eastAsia="Calibri"/>
          <w:szCs w:val="24"/>
          <w:lang w:eastAsia="en-GB"/>
        </w:rPr>
      </w:pPr>
      <w:r w:rsidRPr="003D6A87">
        <w:rPr>
          <w:rFonts w:eastAsia="Calibri"/>
          <w:szCs w:val="24"/>
          <w:lang w:eastAsia="en-GB"/>
        </w:rPr>
        <w:t>The term "</w:t>
      </w:r>
      <w:r w:rsidRPr="003D6A87">
        <w:rPr>
          <w:rFonts w:eastAsia="Calibri"/>
          <w:b/>
          <w:szCs w:val="24"/>
          <w:lang w:eastAsia="en-GB"/>
        </w:rPr>
        <w:t>Documents</w:t>
      </w:r>
      <w:r w:rsidRPr="003D6A87">
        <w:rPr>
          <w:rFonts w:eastAsia="Calibri"/>
          <w:szCs w:val="24"/>
          <w:lang w:eastAsia="en-GB"/>
        </w:rPr>
        <w:t xml:space="preserve">" means </w:t>
      </w:r>
      <w:r w:rsidRPr="003D6A87">
        <w:rPr>
          <w:szCs w:val="24"/>
          <w:lang w:eastAsia="en-GB"/>
        </w:rPr>
        <w:t>[</w:t>
      </w:r>
      <w:r w:rsidRPr="003D6A87">
        <w:rPr>
          <w:szCs w:val="24"/>
          <w:highlight w:val="yellow"/>
          <w:lang w:eastAsia="en-GB"/>
        </w:rPr>
        <w:t>NUMBER</w:t>
      </w:r>
      <w:r w:rsidRPr="003D6A87">
        <w:rPr>
          <w:szCs w:val="24"/>
          <w:lang w:eastAsia="en-GB"/>
        </w:rPr>
        <w:t>] documents totalling around [</w:t>
      </w:r>
      <w:r w:rsidRPr="003D6A87">
        <w:rPr>
          <w:szCs w:val="24"/>
          <w:highlight w:val="yellow"/>
          <w:lang w:eastAsia="en-GB"/>
        </w:rPr>
        <w:t>NUMBER</w:t>
      </w:r>
      <w:r w:rsidRPr="003D6A87">
        <w:rPr>
          <w:szCs w:val="24"/>
          <w:lang w:eastAsia="en-GB"/>
        </w:rPr>
        <w:t xml:space="preserve">] pages received by the European Commission in the course of its investigation of the </w:t>
      </w:r>
      <w:r w:rsidRPr="003D6A87">
        <w:rPr>
          <w:rFonts w:eastAsia="Calibri"/>
          <w:szCs w:val="24"/>
          <w:lang w:eastAsia="en-GB"/>
        </w:rPr>
        <w:t>Case AT.</w:t>
      </w:r>
      <w:r w:rsidRPr="003D6A87">
        <w:rPr>
          <w:szCs w:val="24"/>
          <w:lang w:eastAsia="en-GB"/>
        </w:rPr>
        <w:t>[</w:t>
      </w:r>
      <w:r w:rsidRPr="003D6A87">
        <w:rPr>
          <w:szCs w:val="24"/>
          <w:highlight w:val="yellow"/>
          <w:lang w:eastAsia="en-GB"/>
        </w:rPr>
        <w:t>NUMBER</w:t>
      </w:r>
      <w:r w:rsidRPr="003D6A87">
        <w:rPr>
          <w:szCs w:val="24"/>
          <w:lang w:eastAsia="en-GB"/>
        </w:rPr>
        <w:t>] – [</w:t>
      </w:r>
      <w:r w:rsidRPr="003D6A87">
        <w:rPr>
          <w:szCs w:val="24"/>
          <w:highlight w:val="yellow"/>
          <w:lang w:eastAsia="en-GB"/>
        </w:rPr>
        <w:t>NAME</w:t>
      </w:r>
      <w:r w:rsidRPr="003D6A87">
        <w:rPr>
          <w:szCs w:val="24"/>
          <w:lang w:eastAsia="en-GB"/>
        </w:rPr>
        <w:t xml:space="preserve">]. The documents are </w:t>
      </w:r>
      <w:r w:rsidRPr="00C14902">
        <w:rPr>
          <w:szCs w:val="24"/>
          <w:lang w:eastAsia="en-GB"/>
        </w:rPr>
        <w:t>listed in Enclosure I to</w:t>
      </w:r>
      <w:r w:rsidRPr="003D6A87">
        <w:rPr>
          <w:szCs w:val="24"/>
          <w:lang w:eastAsia="en-GB"/>
        </w:rPr>
        <w:t xml:space="preserve"> </w:t>
      </w:r>
      <w:r w:rsidRPr="003D6A87">
        <w:rPr>
          <w:rFonts w:eastAsia="Calibri"/>
          <w:szCs w:val="24"/>
          <w:lang w:eastAsia="en-GB"/>
        </w:rPr>
        <w:t>the draft Negotiated Disclosure Agreement.</w:t>
      </w:r>
    </w:p>
    <w:p w14:paraId="72995FDA" w14:textId="77777777" w:rsidR="003D6A87" w:rsidRPr="003D6A87" w:rsidRDefault="003D6A87">
      <w:pPr>
        <w:spacing w:after="0"/>
        <w:rPr>
          <w:rFonts w:eastAsia="Calibri"/>
          <w:szCs w:val="24"/>
          <w:lang w:eastAsia="en-GB"/>
        </w:rPr>
      </w:pPr>
    </w:p>
    <w:p w14:paraId="00FF112E" w14:textId="77777777" w:rsidR="003D6A87" w:rsidRPr="003D6A87" w:rsidRDefault="003D6A87">
      <w:pPr>
        <w:spacing w:after="0" w:line="276" w:lineRule="auto"/>
        <w:ind w:left="720" w:hanging="360"/>
        <w:rPr>
          <w:szCs w:val="24"/>
          <w:lang w:eastAsia="en-GB"/>
        </w:rPr>
      </w:pPr>
    </w:p>
    <w:p w14:paraId="5442C33D" w14:textId="77777777" w:rsidR="003D6A87" w:rsidRPr="003D6A87" w:rsidRDefault="003D6A87">
      <w:pPr>
        <w:spacing w:after="0" w:line="276" w:lineRule="auto"/>
        <w:rPr>
          <w:szCs w:val="24"/>
          <w:lang w:eastAsia="en-GB"/>
        </w:rPr>
      </w:pPr>
      <w:r w:rsidRPr="003D6A87">
        <w:rPr>
          <w:szCs w:val="24"/>
          <w:lang w:eastAsia="en-GB"/>
        </w:rPr>
        <w:t>On behalf of [</w:t>
      </w:r>
      <w:r w:rsidRPr="003D6A87">
        <w:rPr>
          <w:szCs w:val="24"/>
          <w:highlight w:val="yellow"/>
          <w:lang w:eastAsia="en-GB"/>
        </w:rPr>
        <w:t>NAME</w:t>
      </w:r>
      <w:r w:rsidRPr="003D6A87">
        <w:rPr>
          <w:szCs w:val="24"/>
          <w:lang w:eastAsia="en-GB"/>
        </w:rPr>
        <w:t>].</w:t>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p>
    <w:p w14:paraId="2048D77A" w14:textId="77777777" w:rsidR="003D6A87" w:rsidRPr="003D6A87" w:rsidRDefault="003D6A87">
      <w:pPr>
        <w:spacing w:line="276" w:lineRule="auto"/>
        <w:ind w:left="1077" w:hanging="720"/>
        <w:rPr>
          <w:szCs w:val="24"/>
          <w:lang w:eastAsia="en-GB"/>
        </w:rPr>
      </w:pPr>
    </w:p>
    <w:p w14:paraId="257F19DF" w14:textId="77777777" w:rsidR="003D6A87" w:rsidRPr="003D6A87" w:rsidRDefault="003D6A87">
      <w:pPr>
        <w:spacing w:line="276" w:lineRule="auto"/>
        <w:rPr>
          <w:szCs w:val="24"/>
          <w:lang w:eastAsia="en-GB"/>
        </w:rPr>
      </w:pPr>
      <w:r w:rsidRPr="003D6A87">
        <w:rPr>
          <w:szCs w:val="24"/>
          <w:lang w:eastAsia="en-GB"/>
        </w:rPr>
        <w:t>………………………………</w:t>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p>
    <w:p w14:paraId="18103C7B" w14:textId="77777777" w:rsidR="003D6A87" w:rsidRPr="003D6A87" w:rsidRDefault="003D6A87">
      <w:pPr>
        <w:spacing w:line="276" w:lineRule="auto"/>
        <w:rPr>
          <w:szCs w:val="24"/>
          <w:lang w:eastAsia="en-GB"/>
        </w:rPr>
      </w:pPr>
      <w:r w:rsidRPr="003D6A87">
        <w:rPr>
          <w:szCs w:val="24"/>
          <w:lang w:eastAsia="en-GB"/>
        </w:rPr>
        <w:t>Name:</w:t>
      </w:r>
    </w:p>
    <w:p w14:paraId="41ED0490" w14:textId="77777777" w:rsidR="003D6A87" w:rsidRPr="003D6A87" w:rsidRDefault="003D6A87">
      <w:pPr>
        <w:spacing w:line="276" w:lineRule="auto"/>
        <w:rPr>
          <w:szCs w:val="24"/>
          <w:lang w:eastAsia="en-GB"/>
        </w:rPr>
      </w:pPr>
      <w:r w:rsidRPr="003D6A87">
        <w:rPr>
          <w:szCs w:val="24"/>
          <w:lang w:eastAsia="en-GB"/>
        </w:rPr>
        <w:t>Function:</w:t>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p>
    <w:p w14:paraId="3CD4E5E6" w14:textId="77777777" w:rsidR="003D6A87" w:rsidRPr="003D6A87" w:rsidRDefault="003D6A87">
      <w:pPr>
        <w:spacing w:line="276" w:lineRule="auto"/>
        <w:rPr>
          <w:szCs w:val="24"/>
          <w:lang w:eastAsia="en-GB"/>
        </w:rPr>
      </w:pPr>
      <w:r w:rsidRPr="003D6A87">
        <w:rPr>
          <w:szCs w:val="24"/>
          <w:lang w:eastAsia="en-GB"/>
        </w:rPr>
        <w:t>Date:</w:t>
      </w:r>
    </w:p>
    <w:p w14:paraId="4E847D5F" w14:textId="77777777" w:rsidR="003D6A87" w:rsidRPr="003D6A87" w:rsidRDefault="003D6A87">
      <w:pPr>
        <w:spacing w:line="276" w:lineRule="auto"/>
        <w:rPr>
          <w:szCs w:val="24"/>
          <w:lang w:eastAsia="en-GB"/>
        </w:rPr>
      </w:pPr>
      <w:r w:rsidRPr="003D6A87">
        <w:rPr>
          <w:szCs w:val="24"/>
          <w:lang w:eastAsia="en-GB"/>
        </w:rPr>
        <w:t>Place:</w:t>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p>
    <w:p w14:paraId="4BCA9707" w14:textId="77777777" w:rsidR="003D6A87" w:rsidRPr="003D6A87" w:rsidRDefault="003D6A87">
      <w:pPr>
        <w:spacing w:after="0"/>
        <w:rPr>
          <w:rFonts w:eastAsia="Calibri"/>
          <w:szCs w:val="24"/>
          <w:lang w:eastAsia="en-GB"/>
        </w:rPr>
      </w:pPr>
      <w:r w:rsidRPr="003D6A87">
        <w:rPr>
          <w:rFonts w:eastAsia="Calibri"/>
          <w:szCs w:val="24"/>
          <w:lang w:eastAsia="en-GB"/>
        </w:rPr>
        <w:br w:type="page"/>
      </w:r>
    </w:p>
    <w:p w14:paraId="3610C880" w14:textId="77777777" w:rsidR="003D6A87" w:rsidRPr="003D6A87" w:rsidRDefault="003D6A87">
      <w:pPr>
        <w:spacing w:after="0"/>
        <w:rPr>
          <w:rFonts w:eastAsia="Calibri"/>
          <w:szCs w:val="24"/>
          <w:lang w:eastAsia="en-GB"/>
        </w:rPr>
      </w:pPr>
    </w:p>
    <w:p w14:paraId="3CE8B1FD" w14:textId="6EE25166" w:rsidR="003D6A87" w:rsidRPr="003D6A87" w:rsidRDefault="003D6A87">
      <w:pPr>
        <w:spacing w:after="0"/>
        <w:rPr>
          <w:rFonts w:eastAsia="Calibri"/>
          <w:b/>
          <w:szCs w:val="24"/>
          <w:lang w:eastAsia="en-GB"/>
        </w:rPr>
      </w:pPr>
      <w:r w:rsidRPr="003D6A87">
        <w:rPr>
          <w:rFonts w:eastAsia="Calibri"/>
          <w:b/>
          <w:szCs w:val="24"/>
          <w:lang w:eastAsia="en-GB"/>
        </w:rPr>
        <w:t>WAIVER DECLARATION OF [</w:t>
      </w:r>
      <w:r w:rsidR="00E926CE">
        <w:rPr>
          <w:rFonts w:eastAsia="Calibri"/>
          <w:b/>
          <w:szCs w:val="24"/>
          <w:highlight w:val="yellow"/>
          <w:lang w:eastAsia="en-GB"/>
        </w:rPr>
        <w:t>INFORMATION PROVIDER</w:t>
      </w:r>
      <w:r w:rsidRPr="003D6A87">
        <w:rPr>
          <w:rFonts w:eastAsia="Calibri"/>
          <w:b/>
          <w:szCs w:val="24"/>
          <w:lang w:eastAsia="en-GB"/>
        </w:rPr>
        <w:t>] VIS-A-VIS THE EUROPEAN COMMISSION</w:t>
      </w:r>
    </w:p>
    <w:p w14:paraId="4601086F" w14:textId="77777777" w:rsidR="003D6A87" w:rsidRPr="003D6A87" w:rsidRDefault="003D6A87">
      <w:pPr>
        <w:spacing w:after="0"/>
        <w:rPr>
          <w:rFonts w:eastAsia="Calibri"/>
          <w:szCs w:val="24"/>
          <w:lang w:eastAsia="en-GB"/>
        </w:rPr>
      </w:pPr>
    </w:p>
    <w:p w14:paraId="30AD55C7" w14:textId="7B59967C" w:rsidR="003D6A87" w:rsidRPr="003D6A87" w:rsidRDefault="003D6A87">
      <w:pPr>
        <w:spacing w:after="0"/>
        <w:rPr>
          <w:szCs w:val="24"/>
          <w:lang w:eastAsia="en-GB"/>
        </w:rPr>
      </w:pPr>
      <w:r w:rsidRPr="003D6A87">
        <w:rPr>
          <w:szCs w:val="24"/>
          <w:lang w:eastAsia="en-GB"/>
        </w:rPr>
        <w:t>[</w:t>
      </w:r>
      <w:r w:rsidRPr="003D6A87">
        <w:rPr>
          <w:szCs w:val="24"/>
          <w:highlight w:val="yellow"/>
          <w:lang w:eastAsia="en-GB"/>
        </w:rPr>
        <w:t>NAME</w:t>
      </w:r>
      <w:r w:rsidRPr="003D6A87">
        <w:rPr>
          <w:szCs w:val="24"/>
          <w:lang w:eastAsia="en-GB"/>
        </w:rPr>
        <w:t>], an [</w:t>
      </w:r>
      <w:r w:rsidRPr="003D6A87">
        <w:rPr>
          <w:szCs w:val="24"/>
          <w:highlight w:val="yellow"/>
          <w:lang w:eastAsia="en-GB"/>
        </w:rPr>
        <w:t>PLACE OF ESTABLISHMENT</w:t>
      </w:r>
      <w:r w:rsidRPr="003D6A87">
        <w:rPr>
          <w:szCs w:val="24"/>
          <w:lang w:eastAsia="en-GB"/>
        </w:rPr>
        <w:t>] corporation, with its principal place of business at [</w:t>
      </w:r>
      <w:r w:rsidRPr="003D6A87">
        <w:rPr>
          <w:szCs w:val="24"/>
          <w:highlight w:val="yellow"/>
          <w:lang w:eastAsia="en-GB"/>
        </w:rPr>
        <w:t>ADDRESS</w:t>
      </w:r>
      <w:r w:rsidRPr="003D6A87">
        <w:rPr>
          <w:szCs w:val="24"/>
          <w:lang w:eastAsia="en-GB"/>
        </w:rPr>
        <w:t>], duly represented by [</w:t>
      </w:r>
      <w:r w:rsidRPr="003D6A87">
        <w:rPr>
          <w:szCs w:val="24"/>
          <w:highlight w:val="yellow"/>
          <w:lang w:eastAsia="en-GB"/>
        </w:rPr>
        <w:t>AUTHORIZED REPRESENTATIVE</w:t>
      </w:r>
      <w:r w:rsidRPr="003D6A87">
        <w:rPr>
          <w:szCs w:val="24"/>
          <w:lang w:eastAsia="en-GB"/>
        </w:rPr>
        <w:t>] (the “</w:t>
      </w:r>
      <w:r w:rsidR="00E926CE">
        <w:rPr>
          <w:b/>
          <w:szCs w:val="24"/>
          <w:lang w:eastAsia="en-GB"/>
        </w:rPr>
        <w:t>Information Provider</w:t>
      </w:r>
      <w:r w:rsidRPr="003D6A87">
        <w:rPr>
          <w:szCs w:val="24"/>
          <w:lang w:eastAsia="en-GB"/>
        </w:rPr>
        <w:t>”)</w:t>
      </w:r>
    </w:p>
    <w:p w14:paraId="04C089C4" w14:textId="77777777" w:rsidR="003D6A87" w:rsidRPr="003D6A87" w:rsidRDefault="003D6A87">
      <w:pPr>
        <w:spacing w:after="0"/>
        <w:rPr>
          <w:szCs w:val="24"/>
          <w:lang w:eastAsia="en-GB"/>
        </w:rPr>
      </w:pPr>
    </w:p>
    <w:p w14:paraId="6971C8D7" w14:textId="77777777" w:rsidR="003D6A87" w:rsidRPr="003D6A87" w:rsidRDefault="003D6A87">
      <w:pPr>
        <w:spacing w:after="0"/>
        <w:rPr>
          <w:rFonts w:eastAsia="Calibri"/>
          <w:szCs w:val="24"/>
          <w:lang w:eastAsia="en-GB"/>
        </w:rPr>
      </w:pPr>
    </w:p>
    <w:p w14:paraId="4D32D97D" w14:textId="7CBB3E87" w:rsidR="003D6A87" w:rsidRPr="003D6A87" w:rsidRDefault="003D6A87">
      <w:pPr>
        <w:spacing w:after="0"/>
        <w:rPr>
          <w:rFonts w:eastAsia="Calibri"/>
          <w:szCs w:val="24"/>
          <w:lang w:eastAsia="en-GB"/>
        </w:rPr>
      </w:pPr>
      <w:r w:rsidRPr="003D6A87">
        <w:rPr>
          <w:rFonts w:eastAsia="Calibri"/>
          <w:szCs w:val="24"/>
          <w:lang w:eastAsia="en-GB"/>
        </w:rPr>
        <w:t>Hereby declares with regard to the procedure in the Case AT.</w:t>
      </w:r>
      <w:r w:rsidRPr="003D6A87">
        <w:rPr>
          <w:szCs w:val="24"/>
          <w:lang w:eastAsia="en-GB"/>
        </w:rPr>
        <w:t>[</w:t>
      </w:r>
      <w:r w:rsidRPr="003D6A87">
        <w:rPr>
          <w:szCs w:val="24"/>
          <w:highlight w:val="yellow"/>
          <w:lang w:eastAsia="en-GB"/>
        </w:rPr>
        <w:t>NUMBER</w:t>
      </w:r>
      <w:r w:rsidRPr="003D6A87">
        <w:rPr>
          <w:szCs w:val="24"/>
          <w:lang w:eastAsia="en-GB"/>
        </w:rPr>
        <w:t>] – [</w:t>
      </w:r>
      <w:r w:rsidRPr="003D6A87">
        <w:rPr>
          <w:szCs w:val="24"/>
          <w:highlight w:val="yellow"/>
          <w:lang w:eastAsia="en-GB"/>
        </w:rPr>
        <w:t>NAME</w:t>
      </w:r>
      <w:r w:rsidRPr="003D6A87">
        <w:rPr>
          <w:szCs w:val="24"/>
          <w:lang w:eastAsia="en-GB"/>
        </w:rPr>
        <w:t>]</w:t>
      </w:r>
      <w:r w:rsidRPr="003D6A87">
        <w:rPr>
          <w:rFonts w:eastAsia="Calibri"/>
          <w:szCs w:val="24"/>
          <w:lang w:eastAsia="en-GB"/>
        </w:rPr>
        <w:t>:</w:t>
      </w:r>
    </w:p>
    <w:p w14:paraId="32CE7424" w14:textId="77777777" w:rsidR="003D6A87" w:rsidRPr="003D6A87" w:rsidRDefault="003D6A87">
      <w:pPr>
        <w:spacing w:after="0"/>
        <w:rPr>
          <w:rFonts w:eastAsia="Calibri"/>
          <w:szCs w:val="24"/>
          <w:lang w:eastAsia="en-GB"/>
        </w:rPr>
      </w:pPr>
    </w:p>
    <w:p w14:paraId="354A59DA" w14:textId="7D54AE37" w:rsidR="003D6A87" w:rsidRPr="003D6A87" w:rsidRDefault="003D6A87">
      <w:pPr>
        <w:spacing w:after="0"/>
        <w:rPr>
          <w:szCs w:val="24"/>
          <w:lang w:eastAsia="en-GB"/>
        </w:rPr>
      </w:pPr>
      <w:r w:rsidRPr="003D6A87">
        <w:rPr>
          <w:rFonts w:eastAsia="Calibri"/>
          <w:szCs w:val="24"/>
          <w:lang w:eastAsia="en-GB"/>
        </w:rPr>
        <w:t xml:space="preserve">The </w:t>
      </w:r>
      <w:r w:rsidR="00E926CE">
        <w:rPr>
          <w:rFonts w:eastAsia="Calibri"/>
          <w:szCs w:val="24"/>
          <w:lang w:eastAsia="en-GB"/>
        </w:rPr>
        <w:t>Information Provider</w:t>
      </w:r>
      <w:r w:rsidRPr="003D6A87">
        <w:rPr>
          <w:rFonts w:eastAsia="Calibri"/>
          <w:szCs w:val="24"/>
          <w:lang w:eastAsia="en-GB"/>
        </w:rPr>
        <w:t xml:space="preserve"> hereby waives with respect to the European Commission its right to the protection of business secrets and other confidential information contained in the Documents. This waiver is granted solely for the purpose of enabling the European Commission to disclose the Documents in accordance with the terms of the draft Negotiated Disclosure Agreement which, further to this Declaration, [</w:t>
      </w:r>
      <w:r w:rsidR="00E926CE">
        <w:rPr>
          <w:rFonts w:eastAsia="Calibri"/>
          <w:szCs w:val="24"/>
          <w:highlight w:val="yellow"/>
          <w:lang w:eastAsia="en-GB"/>
        </w:rPr>
        <w:t>INFORMATION PROVIDER</w:t>
      </w:r>
      <w:r w:rsidRPr="003D6A87">
        <w:rPr>
          <w:rFonts w:eastAsia="Calibri"/>
          <w:szCs w:val="24"/>
          <w:lang w:eastAsia="en-GB"/>
        </w:rPr>
        <w:t xml:space="preserve">] intends to enter into with </w:t>
      </w:r>
      <w:r w:rsidRPr="003D6A87">
        <w:rPr>
          <w:szCs w:val="24"/>
          <w:lang w:eastAsia="en-GB"/>
        </w:rPr>
        <w:t>[</w:t>
      </w:r>
      <w:r w:rsidRPr="003D6A87">
        <w:rPr>
          <w:szCs w:val="24"/>
          <w:highlight w:val="yellow"/>
          <w:lang w:eastAsia="en-GB"/>
        </w:rPr>
        <w:t>SO ADDRESSEE</w:t>
      </w:r>
      <w:r w:rsidRPr="003D6A87">
        <w:rPr>
          <w:szCs w:val="24"/>
          <w:lang w:eastAsia="en-GB"/>
        </w:rPr>
        <w:t>], a [</w:t>
      </w:r>
      <w:r w:rsidRPr="003D6A87">
        <w:rPr>
          <w:szCs w:val="24"/>
          <w:highlight w:val="yellow"/>
          <w:lang w:eastAsia="en-GB"/>
        </w:rPr>
        <w:t>PLACE OF ESTABLISHMENT</w:t>
      </w:r>
      <w:r w:rsidRPr="003D6A87">
        <w:rPr>
          <w:szCs w:val="24"/>
          <w:lang w:eastAsia="en-GB"/>
        </w:rPr>
        <w:t>] corporation, with its principal place of business at [</w:t>
      </w:r>
      <w:r w:rsidRPr="003D6A87">
        <w:rPr>
          <w:szCs w:val="24"/>
          <w:highlight w:val="yellow"/>
          <w:lang w:eastAsia="en-GB"/>
        </w:rPr>
        <w:t>ADDRESS</w:t>
      </w:r>
      <w:r w:rsidRPr="003D6A87">
        <w:rPr>
          <w:szCs w:val="24"/>
          <w:lang w:eastAsia="en-GB"/>
        </w:rPr>
        <w:t>]</w:t>
      </w:r>
      <w:r w:rsidRPr="003D6A87">
        <w:rPr>
          <w:rFonts w:eastAsia="Calibri"/>
          <w:szCs w:val="24"/>
          <w:lang w:eastAsia="en-GB"/>
        </w:rPr>
        <w:t xml:space="preserve"> and </w:t>
      </w:r>
      <w:r w:rsidRPr="003D6A87">
        <w:rPr>
          <w:szCs w:val="24"/>
          <w:lang w:eastAsia="en-GB"/>
        </w:rPr>
        <w:t xml:space="preserve">the </w:t>
      </w:r>
      <w:r w:rsidR="00E926CE">
        <w:rPr>
          <w:szCs w:val="24"/>
          <w:lang w:eastAsia="en-GB"/>
        </w:rPr>
        <w:t>Information Provider</w:t>
      </w:r>
      <w:r w:rsidRPr="003D6A87">
        <w:rPr>
          <w:szCs w:val="24"/>
          <w:lang w:eastAsia="en-GB"/>
        </w:rPr>
        <w:t>.</w:t>
      </w:r>
    </w:p>
    <w:p w14:paraId="0065D2B2" w14:textId="77777777" w:rsidR="003D6A87" w:rsidRPr="003D6A87" w:rsidRDefault="003D6A87">
      <w:pPr>
        <w:spacing w:after="0"/>
        <w:rPr>
          <w:szCs w:val="24"/>
          <w:lang w:eastAsia="en-GB"/>
        </w:rPr>
      </w:pPr>
    </w:p>
    <w:p w14:paraId="5D50A99D" w14:textId="4C0F1A7C" w:rsidR="003D6A87" w:rsidRPr="003D6A87" w:rsidRDefault="003D6A87">
      <w:pPr>
        <w:spacing w:after="0"/>
        <w:rPr>
          <w:rFonts w:eastAsia="Calibri"/>
          <w:szCs w:val="24"/>
          <w:lang w:eastAsia="en-GB"/>
        </w:rPr>
      </w:pPr>
      <w:r w:rsidRPr="003D6A87">
        <w:rPr>
          <w:szCs w:val="24"/>
          <w:lang w:eastAsia="en-GB"/>
        </w:rPr>
        <w:t xml:space="preserve">The </w:t>
      </w:r>
      <w:r w:rsidR="00E926CE">
        <w:rPr>
          <w:szCs w:val="24"/>
          <w:lang w:eastAsia="en-GB"/>
        </w:rPr>
        <w:t>Information Provider</w:t>
      </w:r>
      <w:r w:rsidRPr="003D6A87">
        <w:rPr>
          <w:szCs w:val="24"/>
          <w:lang w:eastAsia="en-GB"/>
        </w:rPr>
        <w:t xml:space="preserve"> agrees that disclosure of the Documents in accordance with the terms of the </w:t>
      </w:r>
      <w:r w:rsidRPr="003D6A87">
        <w:rPr>
          <w:rFonts w:eastAsia="Calibri"/>
          <w:szCs w:val="24"/>
          <w:lang w:eastAsia="en-GB"/>
        </w:rPr>
        <w:t xml:space="preserve">draft Negotiated Disclosure Agreement </w:t>
      </w:r>
      <w:r w:rsidRPr="003D6A87">
        <w:rPr>
          <w:szCs w:val="24"/>
          <w:lang w:eastAsia="en-GB"/>
        </w:rPr>
        <w:t xml:space="preserve">would satisfy the Commission’s duty to respect professional secrecy under Article 339 TFEU and/or Article 28 of Regulation (EC) No 1/2003 and/or any other applicable rules. Accordingly, the </w:t>
      </w:r>
      <w:r w:rsidR="00E926CE">
        <w:rPr>
          <w:szCs w:val="24"/>
          <w:lang w:eastAsia="en-GB"/>
        </w:rPr>
        <w:t>Information Provider</w:t>
      </w:r>
      <w:r w:rsidRPr="003D6A87">
        <w:rPr>
          <w:szCs w:val="24"/>
          <w:lang w:eastAsia="en-GB"/>
        </w:rPr>
        <w:t xml:space="preserve"> agrees not to pursue any claim against the Commission and its staff in respect of any damage that might result from a possible breach of the Negotiated </w:t>
      </w:r>
      <w:r w:rsidRPr="003D6A87">
        <w:rPr>
          <w:rFonts w:eastAsia="Calibri"/>
          <w:szCs w:val="24"/>
          <w:lang w:eastAsia="en-GB"/>
        </w:rPr>
        <w:t>Disclosure Agreement</w:t>
      </w:r>
      <w:r w:rsidRPr="003D6A87">
        <w:rPr>
          <w:szCs w:val="24"/>
          <w:lang w:eastAsia="en-GB"/>
        </w:rPr>
        <w:t>.</w:t>
      </w:r>
    </w:p>
    <w:p w14:paraId="7A87D9A7" w14:textId="77777777" w:rsidR="003D6A87" w:rsidRPr="003D6A87" w:rsidRDefault="003D6A87">
      <w:pPr>
        <w:spacing w:after="0"/>
        <w:rPr>
          <w:rFonts w:eastAsia="Calibri"/>
          <w:szCs w:val="24"/>
          <w:lang w:eastAsia="en-GB"/>
        </w:rPr>
      </w:pPr>
    </w:p>
    <w:p w14:paraId="48B5E04A" w14:textId="77777777" w:rsidR="003D6A87" w:rsidRPr="003D6A87" w:rsidRDefault="003D6A87">
      <w:pPr>
        <w:spacing w:after="0"/>
        <w:rPr>
          <w:rFonts w:eastAsia="Calibri"/>
          <w:szCs w:val="24"/>
          <w:lang w:eastAsia="en-GB"/>
        </w:rPr>
      </w:pPr>
      <w:r w:rsidRPr="003D6A87">
        <w:rPr>
          <w:rFonts w:eastAsia="Calibri"/>
          <w:szCs w:val="24"/>
          <w:lang w:eastAsia="en-GB"/>
        </w:rPr>
        <w:t>The term "</w:t>
      </w:r>
      <w:r w:rsidRPr="003D6A87">
        <w:rPr>
          <w:rFonts w:eastAsia="Calibri"/>
          <w:b/>
          <w:szCs w:val="24"/>
          <w:lang w:eastAsia="en-GB"/>
        </w:rPr>
        <w:t>Documents</w:t>
      </w:r>
      <w:r w:rsidRPr="003D6A87">
        <w:rPr>
          <w:rFonts w:eastAsia="Calibri"/>
          <w:szCs w:val="24"/>
          <w:lang w:eastAsia="en-GB"/>
        </w:rPr>
        <w:t xml:space="preserve">" means </w:t>
      </w:r>
      <w:r w:rsidRPr="003D6A87">
        <w:rPr>
          <w:szCs w:val="24"/>
          <w:lang w:eastAsia="en-GB"/>
        </w:rPr>
        <w:t>[</w:t>
      </w:r>
      <w:r w:rsidRPr="003D6A87">
        <w:rPr>
          <w:szCs w:val="24"/>
          <w:highlight w:val="yellow"/>
          <w:lang w:eastAsia="en-GB"/>
        </w:rPr>
        <w:t>NUMBER</w:t>
      </w:r>
      <w:r w:rsidRPr="003D6A87">
        <w:rPr>
          <w:szCs w:val="24"/>
          <w:lang w:eastAsia="en-GB"/>
        </w:rPr>
        <w:t>] documents totalling around [</w:t>
      </w:r>
      <w:r w:rsidRPr="003D6A87">
        <w:rPr>
          <w:szCs w:val="24"/>
          <w:highlight w:val="yellow"/>
          <w:lang w:eastAsia="en-GB"/>
        </w:rPr>
        <w:t>NUMBER</w:t>
      </w:r>
      <w:r w:rsidRPr="003D6A87">
        <w:rPr>
          <w:szCs w:val="24"/>
          <w:lang w:eastAsia="en-GB"/>
        </w:rPr>
        <w:t xml:space="preserve">] pages received by the European Commission in the course of its investigation of the </w:t>
      </w:r>
      <w:r w:rsidRPr="003D6A87">
        <w:rPr>
          <w:rFonts w:eastAsia="Calibri"/>
          <w:szCs w:val="24"/>
          <w:lang w:eastAsia="en-GB"/>
        </w:rPr>
        <w:t>Case AT.</w:t>
      </w:r>
      <w:r w:rsidRPr="003D6A87">
        <w:rPr>
          <w:szCs w:val="24"/>
          <w:lang w:eastAsia="en-GB"/>
        </w:rPr>
        <w:t>[</w:t>
      </w:r>
      <w:r w:rsidRPr="003D6A87">
        <w:rPr>
          <w:szCs w:val="24"/>
          <w:highlight w:val="yellow"/>
          <w:lang w:eastAsia="en-GB"/>
        </w:rPr>
        <w:t>NUMBER</w:t>
      </w:r>
      <w:r w:rsidRPr="003D6A87">
        <w:rPr>
          <w:szCs w:val="24"/>
          <w:lang w:eastAsia="en-GB"/>
        </w:rPr>
        <w:t>] – [</w:t>
      </w:r>
      <w:r w:rsidRPr="003D6A87">
        <w:rPr>
          <w:szCs w:val="24"/>
          <w:highlight w:val="yellow"/>
          <w:lang w:eastAsia="en-GB"/>
        </w:rPr>
        <w:t>NAME</w:t>
      </w:r>
      <w:r w:rsidRPr="003D6A87">
        <w:rPr>
          <w:szCs w:val="24"/>
          <w:lang w:eastAsia="en-GB"/>
        </w:rPr>
        <w:t xml:space="preserve">]. The documents are listed </w:t>
      </w:r>
      <w:r w:rsidRPr="00C14902">
        <w:rPr>
          <w:szCs w:val="24"/>
          <w:lang w:eastAsia="en-GB"/>
        </w:rPr>
        <w:t>in Enclosure I</w:t>
      </w:r>
      <w:r w:rsidRPr="003D6A87">
        <w:rPr>
          <w:szCs w:val="24"/>
          <w:lang w:eastAsia="en-GB"/>
        </w:rPr>
        <w:t xml:space="preserve"> to </w:t>
      </w:r>
      <w:r w:rsidRPr="003D6A87">
        <w:rPr>
          <w:rFonts w:eastAsia="Calibri"/>
          <w:szCs w:val="24"/>
          <w:lang w:eastAsia="en-GB"/>
        </w:rPr>
        <w:t>the draft Negotiated Disclosure Agreement.</w:t>
      </w:r>
    </w:p>
    <w:p w14:paraId="046A640F" w14:textId="77777777" w:rsidR="003D6A87" w:rsidRPr="003D6A87" w:rsidRDefault="003D6A87">
      <w:pPr>
        <w:spacing w:after="0" w:line="276" w:lineRule="auto"/>
        <w:rPr>
          <w:rFonts w:eastAsia="Calibri"/>
          <w:szCs w:val="24"/>
          <w:lang w:eastAsia="en-GB"/>
        </w:rPr>
      </w:pPr>
    </w:p>
    <w:p w14:paraId="008D3984" w14:textId="77777777" w:rsidR="003D6A87" w:rsidRPr="003D6A87" w:rsidRDefault="003D6A87">
      <w:pPr>
        <w:spacing w:after="0" w:line="276" w:lineRule="auto"/>
        <w:rPr>
          <w:rFonts w:eastAsia="Calibri"/>
          <w:szCs w:val="24"/>
          <w:lang w:eastAsia="en-GB"/>
        </w:rPr>
      </w:pPr>
    </w:p>
    <w:p w14:paraId="44E43AEB" w14:textId="7A77E6BA" w:rsidR="003D6A87" w:rsidRPr="003D6A87" w:rsidRDefault="003D6A87">
      <w:pPr>
        <w:spacing w:after="0" w:line="276" w:lineRule="auto"/>
        <w:rPr>
          <w:i/>
          <w:szCs w:val="24"/>
          <w:lang w:eastAsia="en-GB"/>
        </w:rPr>
      </w:pPr>
      <w:r w:rsidRPr="003D6A87">
        <w:rPr>
          <w:szCs w:val="24"/>
          <w:lang w:eastAsia="en-GB"/>
        </w:rPr>
        <w:t>On behalf of [</w:t>
      </w:r>
      <w:r w:rsidR="00E926CE">
        <w:rPr>
          <w:szCs w:val="24"/>
          <w:highlight w:val="yellow"/>
          <w:lang w:eastAsia="en-GB"/>
        </w:rPr>
        <w:t>INFORMATION PROVIDER</w:t>
      </w:r>
      <w:r w:rsidRPr="003D6A87">
        <w:rPr>
          <w:szCs w:val="24"/>
          <w:lang w:eastAsia="en-GB"/>
        </w:rPr>
        <w:t>]</w:t>
      </w:r>
      <w:r w:rsidRPr="003D6A87">
        <w:rPr>
          <w:szCs w:val="24"/>
          <w:lang w:eastAsia="en-GB"/>
        </w:rPr>
        <w:tab/>
      </w:r>
      <w:r w:rsidRPr="003D6A87">
        <w:rPr>
          <w:szCs w:val="24"/>
          <w:lang w:eastAsia="en-GB"/>
        </w:rPr>
        <w:tab/>
      </w:r>
      <w:r w:rsidRPr="003D6A87">
        <w:rPr>
          <w:szCs w:val="24"/>
          <w:lang w:eastAsia="en-GB"/>
        </w:rPr>
        <w:tab/>
      </w:r>
    </w:p>
    <w:p w14:paraId="02B52B88" w14:textId="77777777" w:rsidR="003D6A87" w:rsidRPr="003D6A87" w:rsidRDefault="003D6A87">
      <w:pPr>
        <w:spacing w:line="276" w:lineRule="auto"/>
        <w:rPr>
          <w:szCs w:val="24"/>
          <w:lang w:eastAsia="en-GB"/>
        </w:rPr>
      </w:pPr>
    </w:p>
    <w:p w14:paraId="7B53BD65" w14:textId="77777777" w:rsidR="003D6A87" w:rsidRPr="003D6A87" w:rsidRDefault="003D6A87">
      <w:pPr>
        <w:spacing w:line="276" w:lineRule="auto"/>
        <w:rPr>
          <w:szCs w:val="24"/>
          <w:lang w:eastAsia="en-GB"/>
        </w:rPr>
      </w:pPr>
      <w:r w:rsidRPr="003D6A87">
        <w:rPr>
          <w:szCs w:val="24"/>
          <w:lang w:eastAsia="en-GB"/>
        </w:rPr>
        <w:t>………………………………</w:t>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p>
    <w:p w14:paraId="5695C65A" w14:textId="77777777" w:rsidR="003D6A87" w:rsidRPr="003D6A87" w:rsidRDefault="003D6A87">
      <w:pPr>
        <w:spacing w:line="276" w:lineRule="auto"/>
        <w:rPr>
          <w:szCs w:val="24"/>
          <w:lang w:eastAsia="en-GB"/>
        </w:rPr>
      </w:pPr>
      <w:r w:rsidRPr="003D6A87">
        <w:rPr>
          <w:szCs w:val="24"/>
          <w:lang w:eastAsia="en-GB"/>
        </w:rPr>
        <w:t>Name:</w:t>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p>
    <w:p w14:paraId="4AE74270" w14:textId="77777777" w:rsidR="003D6A87" w:rsidRPr="003D6A87" w:rsidRDefault="003D6A87">
      <w:pPr>
        <w:spacing w:line="276" w:lineRule="auto"/>
        <w:rPr>
          <w:szCs w:val="24"/>
          <w:lang w:eastAsia="en-GB"/>
        </w:rPr>
      </w:pPr>
      <w:r w:rsidRPr="003D6A87">
        <w:rPr>
          <w:szCs w:val="24"/>
          <w:lang w:eastAsia="en-GB"/>
        </w:rPr>
        <w:t>Function:</w:t>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p>
    <w:p w14:paraId="24EC9111" w14:textId="77777777" w:rsidR="003D6A87" w:rsidRPr="003D6A87" w:rsidRDefault="003D6A87">
      <w:pPr>
        <w:spacing w:line="276" w:lineRule="auto"/>
        <w:rPr>
          <w:szCs w:val="24"/>
          <w:lang w:eastAsia="en-GB"/>
        </w:rPr>
      </w:pPr>
      <w:r w:rsidRPr="003D6A87">
        <w:rPr>
          <w:szCs w:val="24"/>
          <w:lang w:eastAsia="en-GB"/>
        </w:rPr>
        <w:t>Date:</w:t>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p>
    <w:p w14:paraId="2285EC81" w14:textId="77777777" w:rsidR="003D6A87" w:rsidRPr="003D6A87" w:rsidRDefault="003D6A87">
      <w:pPr>
        <w:spacing w:line="276" w:lineRule="auto"/>
        <w:rPr>
          <w:szCs w:val="24"/>
          <w:lang w:eastAsia="en-GB"/>
        </w:rPr>
      </w:pPr>
      <w:r w:rsidRPr="003D6A87">
        <w:rPr>
          <w:szCs w:val="24"/>
          <w:lang w:eastAsia="en-GB"/>
        </w:rPr>
        <w:t>Place:</w:t>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r w:rsidRPr="003D6A87">
        <w:rPr>
          <w:szCs w:val="24"/>
          <w:lang w:eastAsia="en-GB"/>
        </w:rPr>
        <w:tab/>
      </w:r>
    </w:p>
    <w:p w14:paraId="06CED49A" w14:textId="77777777" w:rsidR="003D6A87" w:rsidRPr="003D6A87" w:rsidRDefault="003D6A87">
      <w:pPr>
        <w:spacing w:after="0"/>
        <w:rPr>
          <w:rFonts w:eastAsia="Calibri"/>
          <w:szCs w:val="24"/>
          <w:lang w:eastAsia="en-GB"/>
        </w:rPr>
      </w:pPr>
      <w:r w:rsidRPr="003D6A87">
        <w:rPr>
          <w:rFonts w:eastAsia="Calibri"/>
          <w:szCs w:val="24"/>
          <w:lang w:eastAsia="en-GB"/>
        </w:rPr>
        <w:br w:type="page"/>
      </w:r>
    </w:p>
    <w:p w14:paraId="47BED337" w14:textId="77777777" w:rsidR="003D6A87" w:rsidRPr="003D6A87" w:rsidRDefault="003D6A87">
      <w:pPr>
        <w:spacing w:after="0"/>
        <w:rPr>
          <w:rFonts w:eastAsia="Calibri"/>
          <w:b/>
          <w:szCs w:val="24"/>
          <w:lang w:eastAsia="en-GB"/>
        </w:rPr>
      </w:pPr>
      <w:r w:rsidRPr="003D6A87">
        <w:rPr>
          <w:rFonts w:eastAsia="Calibri"/>
          <w:b/>
          <w:szCs w:val="24"/>
          <w:lang w:eastAsia="en-GB"/>
        </w:rPr>
        <w:t>ANNEX A</w:t>
      </w:r>
    </w:p>
    <w:p w14:paraId="7EB9B274" w14:textId="77777777" w:rsidR="003D6A87" w:rsidRPr="003D6A87" w:rsidRDefault="003D6A87">
      <w:pPr>
        <w:spacing w:after="0"/>
        <w:rPr>
          <w:rFonts w:eastAsia="Calibri"/>
          <w:b/>
          <w:szCs w:val="24"/>
          <w:lang w:eastAsia="en-GB"/>
        </w:rPr>
      </w:pPr>
    </w:p>
    <w:p w14:paraId="3500054D" w14:textId="0C4BC118" w:rsidR="003D6A87" w:rsidRPr="003D6A87" w:rsidRDefault="00102D55">
      <w:pPr>
        <w:spacing w:after="0"/>
        <w:rPr>
          <w:rFonts w:eastAsia="Calibri"/>
          <w:b/>
          <w:szCs w:val="24"/>
          <w:lang w:eastAsia="en-GB"/>
        </w:rPr>
      </w:pPr>
      <w:r>
        <w:rPr>
          <w:rFonts w:eastAsia="Calibri"/>
          <w:b/>
          <w:szCs w:val="24"/>
          <w:lang w:eastAsia="en-GB"/>
        </w:rPr>
        <w:t xml:space="preserve">UNDERTAKING TO BE ENTERED INTO BY </w:t>
      </w:r>
      <w:r w:rsidR="003D6A87" w:rsidRPr="003D6A87">
        <w:rPr>
          <w:rFonts w:eastAsia="Calibri"/>
          <w:b/>
          <w:szCs w:val="24"/>
          <w:lang w:eastAsia="en-GB"/>
        </w:rPr>
        <w:t>MEMBERS</w:t>
      </w:r>
      <w:r>
        <w:rPr>
          <w:rFonts w:eastAsia="Calibri"/>
          <w:b/>
          <w:szCs w:val="24"/>
          <w:lang w:eastAsia="en-GB"/>
        </w:rPr>
        <w:t xml:space="preserve"> OF THE CONFIDENTIALITY RING</w:t>
      </w:r>
    </w:p>
    <w:p w14:paraId="5CD829DF" w14:textId="77777777" w:rsidR="003D6A87" w:rsidRPr="003D6A87" w:rsidRDefault="003D6A87">
      <w:pPr>
        <w:spacing w:after="0"/>
        <w:rPr>
          <w:rFonts w:eastAsia="Calibri"/>
          <w:szCs w:val="24"/>
          <w:lang w:eastAsia="en-GB"/>
        </w:rPr>
      </w:pPr>
    </w:p>
    <w:p w14:paraId="6BCB341D" w14:textId="77777777" w:rsidR="003D6A87" w:rsidRPr="003D6A87" w:rsidRDefault="003D6A87">
      <w:pPr>
        <w:spacing w:after="0"/>
        <w:rPr>
          <w:rFonts w:eastAsia="Calibri"/>
          <w:szCs w:val="24"/>
          <w:lang w:eastAsia="en-GB"/>
        </w:rPr>
      </w:pPr>
    </w:p>
    <w:p w14:paraId="6D9B3026" w14:textId="77777777" w:rsidR="003D6A87" w:rsidRPr="003D6A87" w:rsidRDefault="003D6A87">
      <w:pPr>
        <w:spacing w:after="0"/>
        <w:rPr>
          <w:rFonts w:eastAsia="Calibri"/>
          <w:szCs w:val="24"/>
          <w:lang w:eastAsia="en-GB"/>
        </w:rPr>
      </w:pPr>
      <w:r w:rsidRPr="003D6A87">
        <w:rPr>
          <w:rFonts w:eastAsia="Calibri"/>
          <w:szCs w:val="24"/>
          <w:lang w:eastAsia="en-GB"/>
        </w:rPr>
        <w:t>I am a [</w:t>
      </w:r>
      <w:r w:rsidRPr="003D6A87">
        <w:rPr>
          <w:rFonts w:eastAsia="Calibri"/>
          <w:szCs w:val="24"/>
          <w:highlight w:val="yellow"/>
          <w:lang w:eastAsia="en-GB"/>
        </w:rPr>
        <w:t>POSITION</w:t>
      </w:r>
      <w:r w:rsidRPr="003D6A87">
        <w:rPr>
          <w:rFonts w:eastAsia="Calibri"/>
          <w:szCs w:val="24"/>
          <w:lang w:eastAsia="en-GB"/>
        </w:rPr>
        <w:t xml:space="preserve"> – </w:t>
      </w:r>
      <w:r w:rsidRPr="00726323">
        <w:rPr>
          <w:rFonts w:eastAsia="Calibri"/>
          <w:i/>
          <w:szCs w:val="24"/>
          <w:highlight w:val="yellow"/>
          <w:lang w:eastAsia="en-GB"/>
        </w:rPr>
        <w:t>employee, partner, associate, in house counsel</w:t>
      </w:r>
      <w:r w:rsidRPr="003D6A87">
        <w:rPr>
          <w:rFonts w:eastAsia="Calibri"/>
          <w:szCs w:val="24"/>
          <w:lang w:eastAsia="en-GB"/>
        </w:rPr>
        <w:t>] of [</w:t>
      </w:r>
      <w:r w:rsidRPr="003D6A87">
        <w:rPr>
          <w:rFonts w:eastAsia="Calibri"/>
          <w:szCs w:val="24"/>
          <w:highlight w:val="yellow"/>
          <w:lang w:eastAsia="en-GB"/>
        </w:rPr>
        <w:t>FIRM/SO ADDRESSEE</w:t>
      </w:r>
      <w:r w:rsidRPr="003D6A87">
        <w:rPr>
          <w:rFonts w:eastAsia="Calibri"/>
          <w:szCs w:val="24"/>
          <w:lang w:eastAsia="en-GB"/>
        </w:rPr>
        <w:t>] and I hereby acknowledge that:</w:t>
      </w:r>
    </w:p>
    <w:p w14:paraId="75930621" w14:textId="77777777" w:rsidR="003D6A87" w:rsidRPr="003D6A87" w:rsidRDefault="003D6A87">
      <w:pPr>
        <w:spacing w:after="0"/>
        <w:rPr>
          <w:rFonts w:eastAsia="Calibri"/>
          <w:szCs w:val="24"/>
          <w:lang w:eastAsia="en-GB"/>
        </w:rPr>
      </w:pPr>
    </w:p>
    <w:p w14:paraId="245F2896" w14:textId="77777777" w:rsidR="003D6A87" w:rsidRPr="003D6A87" w:rsidRDefault="003D6A87">
      <w:pPr>
        <w:spacing w:after="0"/>
        <w:rPr>
          <w:rFonts w:eastAsia="Calibri"/>
          <w:szCs w:val="24"/>
          <w:lang w:eastAsia="en-GB"/>
        </w:rPr>
      </w:pPr>
    </w:p>
    <w:p w14:paraId="71A4BB0F" w14:textId="64DB6C0C" w:rsidR="003D6A87" w:rsidRPr="003D6A87" w:rsidRDefault="003D6A87" w:rsidP="00726323">
      <w:pPr>
        <w:numPr>
          <w:ilvl w:val="0"/>
          <w:numId w:val="26"/>
        </w:numPr>
        <w:spacing w:after="0" w:line="276" w:lineRule="auto"/>
        <w:contextualSpacing/>
        <w:rPr>
          <w:rFonts w:eastAsia="Calibri"/>
          <w:szCs w:val="24"/>
          <w:lang w:eastAsia="en-GB"/>
        </w:rPr>
      </w:pPr>
      <w:r w:rsidRPr="003D6A87">
        <w:rPr>
          <w:rFonts w:eastAsia="Calibri"/>
          <w:szCs w:val="24"/>
          <w:lang w:eastAsia="en-GB"/>
        </w:rPr>
        <w:t>I have read the Negotiated Disclosure Agreement of [</w:t>
      </w:r>
      <w:r w:rsidRPr="003D6A87">
        <w:rPr>
          <w:rFonts w:eastAsia="Calibri"/>
          <w:szCs w:val="24"/>
          <w:highlight w:val="yellow"/>
          <w:lang w:eastAsia="en-GB"/>
        </w:rPr>
        <w:t>DATE OF THE AGREEMENT</w:t>
      </w:r>
      <w:r w:rsidRPr="003D6A87">
        <w:rPr>
          <w:rFonts w:eastAsia="Calibri"/>
          <w:szCs w:val="24"/>
          <w:lang w:eastAsia="en-GB"/>
        </w:rPr>
        <w:t xml:space="preserve">] entered into by and between </w:t>
      </w:r>
      <w:r w:rsidRPr="003D6A87">
        <w:rPr>
          <w:szCs w:val="24"/>
          <w:lang w:eastAsia="en-GB"/>
        </w:rPr>
        <w:t>[</w:t>
      </w:r>
      <w:r w:rsidRPr="003D6A87">
        <w:rPr>
          <w:szCs w:val="24"/>
          <w:highlight w:val="yellow"/>
          <w:lang w:eastAsia="en-GB"/>
        </w:rPr>
        <w:t>SO ADDRESSEE</w:t>
      </w:r>
      <w:r w:rsidRPr="003D6A87">
        <w:rPr>
          <w:szCs w:val="24"/>
          <w:lang w:eastAsia="en-GB"/>
        </w:rPr>
        <w:t>], a [</w:t>
      </w:r>
      <w:r w:rsidRPr="003D6A87">
        <w:rPr>
          <w:szCs w:val="24"/>
          <w:highlight w:val="yellow"/>
          <w:lang w:eastAsia="en-GB"/>
        </w:rPr>
        <w:t>PLACE OF ESTABLISHMENT</w:t>
      </w:r>
      <w:r w:rsidRPr="003D6A87">
        <w:rPr>
          <w:szCs w:val="24"/>
          <w:lang w:eastAsia="en-GB"/>
        </w:rPr>
        <w:t>] corporation, with its principal place of business at [</w:t>
      </w:r>
      <w:r w:rsidRPr="003D6A87">
        <w:rPr>
          <w:szCs w:val="24"/>
          <w:highlight w:val="yellow"/>
          <w:lang w:eastAsia="en-GB"/>
        </w:rPr>
        <w:t>ADDRESS</w:t>
      </w:r>
      <w:r w:rsidRPr="003D6A87">
        <w:rPr>
          <w:szCs w:val="24"/>
          <w:lang w:eastAsia="en-GB"/>
        </w:rPr>
        <w:t xml:space="preserve">] </w:t>
      </w:r>
      <w:r w:rsidRPr="003D6A87">
        <w:rPr>
          <w:rFonts w:eastAsia="Calibri"/>
          <w:szCs w:val="24"/>
          <w:lang w:eastAsia="en-GB"/>
        </w:rPr>
        <w:t>and [</w:t>
      </w:r>
      <w:r w:rsidR="00E926CE">
        <w:rPr>
          <w:rFonts w:eastAsia="Calibri"/>
          <w:szCs w:val="24"/>
          <w:highlight w:val="yellow"/>
          <w:lang w:eastAsia="en-GB"/>
        </w:rPr>
        <w:t>INFORMATION PROVIDER</w:t>
      </w:r>
      <w:r w:rsidRPr="003D6A87">
        <w:rPr>
          <w:rFonts w:eastAsia="Calibri"/>
          <w:szCs w:val="24"/>
          <w:lang w:eastAsia="en-GB"/>
        </w:rPr>
        <w:t>]</w:t>
      </w:r>
      <w:r w:rsidRPr="003D6A87">
        <w:rPr>
          <w:szCs w:val="24"/>
          <w:lang w:eastAsia="en-GB"/>
        </w:rPr>
        <w:t>, a [</w:t>
      </w:r>
      <w:r w:rsidRPr="003D6A87">
        <w:rPr>
          <w:szCs w:val="24"/>
          <w:highlight w:val="yellow"/>
          <w:lang w:eastAsia="en-GB"/>
        </w:rPr>
        <w:t>PLACE OF ESTABLISHMENT</w:t>
      </w:r>
      <w:r w:rsidRPr="003D6A87">
        <w:rPr>
          <w:szCs w:val="24"/>
          <w:lang w:eastAsia="en-GB"/>
        </w:rPr>
        <w:t>] corporation, with its principal place of business at [</w:t>
      </w:r>
      <w:r w:rsidRPr="003D6A87">
        <w:rPr>
          <w:szCs w:val="24"/>
          <w:highlight w:val="yellow"/>
          <w:lang w:eastAsia="en-GB"/>
        </w:rPr>
        <w:t>ADDRESS</w:t>
      </w:r>
      <w:r w:rsidRPr="003D6A87">
        <w:rPr>
          <w:szCs w:val="24"/>
          <w:lang w:eastAsia="en-GB"/>
        </w:rPr>
        <w:t xml:space="preserve">] </w:t>
      </w:r>
      <w:r w:rsidRPr="003D6A87">
        <w:rPr>
          <w:rFonts w:eastAsia="Calibri"/>
          <w:szCs w:val="24"/>
          <w:lang w:eastAsia="en-GB"/>
        </w:rPr>
        <w:t>(the "</w:t>
      </w:r>
      <w:r w:rsidRPr="003D6A87">
        <w:rPr>
          <w:rFonts w:eastAsia="Calibri"/>
          <w:b/>
          <w:szCs w:val="24"/>
          <w:lang w:eastAsia="en-GB"/>
        </w:rPr>
        <w:t>Agreement</w:t>
      </w:r>
      <w:r w:rsidRPr="003D6A87">
        <w:rPr>
          <w:rFonts w:eastAsia="Calibri"/>
          <w:szCs w:val="24"/>
          <w:lang w:eastAsia="en-GB"/>
        </w:rPr>
        <w:t>"), understand the terms thereof, and agree to be bound by it and by the following commitments:</w:t>
      </w:r>
    </w:p>
    <w:p w14:paraId="57A933F8" w14:textId="77777777" w:rsidR="003D6A87" w:rsidRPr="003D6A87" w:rsidRDefault="003D6A87">
      <w:pPr>
        <w:spacing w:after="0"/>
        <w:rPr>
          <w:rFonts w:eastAsia="Calibri"/>
          <w:szCs w:val="24"/>
          <w:lang w:eastAsia="en-GB"/>
        </w:rPr>
      </w:pPr>
    </w:p>
    <w:p w14:paraId="113BA529" w14:textId="77777777" w:rsidR="003D6A87" w:rsidRPr="003D6A87" w:rsidRDefault="003D6A87" w:rsidP="00726323">
      <w:pPr>
        <w:numPr>
          <w:ilvl w:val="1"/>
          <w:numId w:val="26"/>
        </w:numPr>
        <w:spacing w:after="0" w:line="276" w:lineRule="auto"/>
        <w:contextualSpacing/>
        <w:rPr>
          <w:rFonts w:eastAsia="Calibri"/>
          <w:szCs w:val="24"/>
          <w:lang w:eastAsia="en-GB"/>
        </w:rPr>
      </w:pPr>
      <w:r w:rsidRPr="003D6A87">
        <w:rPr>
          <w:rFonts w:eastAsia="Calibri"/>
          <w:szCs w:val="24"/>
          <w:lang w:eastAsia="en-GB"/>
        </w:rPr>
        <w:t>I will not use any of the Documents for any purpose other than that authorized by the Agreement;</w:t>
      </w:r>
    </w:p>
    <w:p w14:paraId="383BD73C" w14:textId="77777777" w:rsidR="003D6A87" w:rsidRPr="003D6A87" w:rsidRDefault="003D6A87">
      <w:pPr>
        <w:spacing w:after="0"/>
        <w:ind w:left="1440"/>
        <w:contextualSpacing/>
        <w:rPr>
          <w:rFonts w:eastAsia="Calibri"/>
          <w:szCs w:val="24"/>
          <w:lang w:eastAsia="en-GB"/>
        </w:rPr>
      </w:pPr>
    </w:p>
    <w:p w14:paraId="6ABCDB42" w14:textId="77777777" w:rsidR="003D6A87" w:rsidRPr="003D6A87" w:rsidRDefault="003D6A87" w:rsidP="00726323">
      <w:pPr>
        <w:numPr>
          <w:ilvl w:val="1"/>
          <w:numId w:val="26"/>
        </w:numPr>
        <w:spacing w:after="200" w:line="276" w:lineRule="auto"/>
        <w:rPr>
          <w:szCs w:val="24"/>
          <w:lang w:eastAsia="en-GB"/>
        </w:rPr>
      </w:pPr>
      <w:r w:rsidRPr="003D6A87">
        <w:rPr>
          <w:szCs w:val="24"/>
          <w:lang w:eastAsia="en-GB"/>
        </w:rPr>
        <w:t>Subject to the exceptions provided in the Agreement, I will not disclose, transmit, communicate or make available the information contained in the Documents (or any observations or comments that repeat any parts of the Documents) in any manner, shape or form to anyone other than to the other Members;</w:t>
      </w:r>
    </w:p>
    <w:p w14:paraId="6A34513C" w14:textId="50CCF993" w:rsidR="003D6A87" w:rsidRPr="003D6A87" w:rsidRDefault="003D6A87" w:rsidP="00726323">
      <w:pPr>
        <w:numPr>
          <w:ilvl w:val="1"/>
          <w:numId w:val="26"/>
        </w:numPr>
        <w:spacing w:after="200" w:line="276" w:lineRule="auto"/>
        <w:rPr>
          <w:szCs w:val="24"/>
          <w:lang w:eastAsia="en-GB"/>
        </w:rPr>
      </w:pPr>
      <w:r w:rsidRPr="003D6A87">
        <w:rPr>
          <w:szCs w:val="24"/>
          <w:lang w:eastAsia="en-GB"/>
        </w:rPr>
        <w:t>I will take all appropriate measures necessary to ensure that the Documents are not unlawfully disclosed and notably to ensure that the password protected electronic storage device containing the Documents (and copies containing information extracted therefrom on any medium) [</w:t>
      </w:r>
      <w:r w:rsidRPr="003D6A87">
        <w:rPr>
          <w:szCs w:val="24"/>
          <w:highlight w:val="yellow"/>
          <w:lang w:eastAsia="en-GB"/>
        </w:rPr>
        <w:t>and copies of the List</w:t>
      </w:r>
      <w:r w:rsidRPr="003D6A87">
        <w:rPr>
          <w:szCs w:val="24"/>
          <w:lang w:eastAsia="en-GB"/>
        </w:rPr>
        <w:t xml:space="preserve">] will be stored in a manner that prevents their non-authorised use; </w:t>
      </w:r>
    </w:p>
    <w:p w14:paraId="741D57F7" w14:textId="328FDBCE" w:rsidR="003D6A87" w:rsidRPr="003D6A87" w:rsidRDefault="003D6A87" w:rsidP="00726323">
      <w:pPr>
        <w:numPr>
          <w:ilvl w:val="1"/>
          <w:numId w:val="26"/>
        </w:numPr>
        <w:spacing w:after="200" w:line="276" w:lineRule="auto"/>
        <w:rPr>
          <w:szCs w:val="24"/>
          <w:lang w:eastAsia="en-GB"/>
        </w:rPr>
      </w:pPr>
      <w:r w:rsidRPr="003D6A87">
        <w:rPr>
          <w:szCs w:val="24"/>
          <w:lang w:eastAsia="en-GB"/>
        </w:rPr>
        <w:t>I will process the personal data contained in the Documents in accordance with applicable law, and accept responsibility as controller for any personal data thus processed by the Members or by the SO Addressee in case of disclosure to the SO Addressee allowed in accordance with this Agreement.</w:t>
      </w:r>
    </w:p>
    <w:p w14:paraId="24C49186" w14:textId="74273898" w:rsidR="003D6A87" w:rsidRPr="003D6A87" w:rsidRDefault="003D6A87" w:rsidP="00726323">
      <w:pPr>
        <w:numPr>
          <w:ilvl w:val="1"/>
          <w:numId w:val="26"/>
        </w:numPr>
        <w:spacing w:after="200" w:line="276" w:lineRule="auto"/>
        <w:rPr>
          <w:szCs w:val="24"/>
          <w:lang w:eastAsia="en-GB"/>
        </w:rPr>
      </w:pPr>
      <w:r w:rsidRPr="003D6A87">
        <w:rPr>
          <w:szCs w:val="24"/>
          <w:lang w:eastAsia="en-GB"/>
        </w:rPr>
        <w:t xml:space="preserve">I will destroy all hard copies of the Documents and to take all reasonable steps to remove, destroy or render otherwise inaccessible any electronic copies of any parts of the Documents, irrespective of the storage medium used, within 60 days of the conclusion of the Commission Proceedings in the Case or within 60 days of the conclusion of any litigation before the Court of Justice of the European Union that might arise in relation to the Case whichever 60-day period expires later, and to certify (by way of affidavit) compliance with this requirement to the Commission and the </w:t>
      </w:r>
      <w:r w:rsidR="00E926CE">
        <w:rPr>
          <w:szCs w:val="24"/>
          <w:lang w:eastAsia="en-GB"/>
        </w:rPr>
        <w:t>Information Provider</w:t>
      </w:r>
      <w:r w:rsidRPr="003D6A87">
        <w:rPr>
          <w:szCs w:val="24"/>
          <w:lang w:eastAsia="en-GB"/>
        </w:rPr>
        <w:t xml:space="preserve"> upon their request</w:t>
      </w:r>
    </w:p>
    <w:p w14:paraId="240F7FA6" w14:textId="77777777" w:rsidR="003D6A87" w:rsidRPr="003D6A87" w:rsidRDefault="003D6A87" w:rsidP="00726323">
      <w:pPr>
        <w:numPr>
          <w:ilvl w:val="1"/>
          <w:numId w:val="26"/>
        </w:numPr>
        <w:spacing w:after="0" w:line="276" w:lineRule="auto"/>
        <w:contextualSpacing/>
        <w:rPr>
          <w:rFonts w:eastAsia="Calibri"/>
          <w:szCs w:val="24"/>
          <w:lang w:eastAsia="en-GB"/>
        </w:rPr>
      </w:pPr>
      <w:r w:rsidRPr="003D6A87">
        <w:rPr>
          <w:rFonts w:eastAsia="Calibri"/>
          <w:szCs w:val="24"/>
          <w:lang w:eastAsia="en-GB"/>
        </w:rPr>
        <w:t>I will make only such copies or notes as are required to enable me to render assistance in connection with the matters for which I am engaged;</w:t>
      </w:r>
    </w:p>
    <w:p w14:paraId="01A0BF1A" w14:textId="77777777" w:rsidR="003D6A87" w:rsidRPr="003D6A87" w:rsidRDefault="003D6A87">
      <w:pPr>
        <w:spacing w:after="0"/>
        <w:ind w:left="1080"/>
        <w:contextualSpacing/>
        <w:rPr>
          <w:rFonts w:eastAsia="Calibri"/>
          <w:szCs w:val="24"/>
          <w:lang w:eastAsia="en-GB"/>
        </w:rPr>
      </w:pPr>
    </w:p>
    <w:p w14:paraId="0ECFF9FA" w14:textId="1FB31F6C" w:rsidR="003D6A87" w:rsidRPr="003D6A87" w:rsidRDefault="003D6A87" w:rsidP="00726323">
      <w:pPr>
        <w:numPr>
          <w:ilvl w:val="1"/>
          <w:numId w:val="26"/>
        </w:numPr>
        <w:spacing w:after="200" w:line="276" w:lineRule="auto"/>
        <w:rPr>
          <w:szCs w:val="24"/>
          <w:lang w:eastAsia="en-GB"/>
        </w:rPr>
      </w:pPr>
      <w:r w:rsidRPr="003D6A87">
        <w:rPr>
          <w:szCs w:val="24"/>
          <w:lang w:eastAsia="en-GB"/>
        </w:rPr>
        <w:t xml:space="preserve">I will inform the Commission and the </w:t>
      </w:r>
      <w:r w:rsidR="00E926CE">
        <w:rPr>
          <w:szCs w:val="24"/>
          <w:lang w:eastAsia="en-GB"/>
        </w:rPr>
        <w:t>Information Provider</w:t>
      </w:r>
      <w:r w:rsidRPr="003D6A87">
        <w:rPr>
          <w:szCs w:val="24"/>
          <w:lang w:eastAsia="en-GB"/>
        </w:rPr>
        <w:t xml:space="preserve"> of any non-authorised disclosure of the Documents in breach of this Agreement and the circumstances of such disclosure as soon as they become aware thereof unless required not to do so by any applicable law or by any competent Court or regulatory or police authority.</w:t>
      </w:r>
    </w:p>
    <w:p w14:paraId="5BB5A1C5" w14:textId="35C943FB" w:rsidR="003D6A87" w:rsidRPr="003D6A87" w:rsidRDefault="003D6A87" w:rsidP="00726323">
      <w:pPr>
        <w:numPr>
          <w:ilvl w:val="1"/>
          <w:numId w:val="26"/>
        </w:numPr>
        <w:spacing w:after="200" w:line="276" w:lineRule="auto"/>
        <w:rPr>
          <w:szCs w:val="24"/>
          <w:lang w:eastAsia="en-GB"/>
        </w:rPr>
      </w:pPr>
      <w:bookmarkStart w:id="11" w:name="_Ref447539137"/>
      <w:r w:rsidRPr="003D6A87">
        <w:rPr>
          <w:szCs w:val="24"/>
          <w:lang w:eastAsia="en-GB"/>
        </w:rPr>
        <w:t>I acknowledge [</w:t>
      </w:r>
      <w:r w:rsidRPr="003D6A87">
        <w:rPr>
          <w:szCs w:val="24"/>
          <w:highlight w:val="yellow"/>
          <w:lang w:eastAsia="en-GB"/>
        </w:rPr>
        <w:t>on behalf of the External Counsel’s law firm/economists or in-house lawyers´ employer</w:t>
      </w:r>
      <w:r w:rsidRPr="003D6A87">
        <w:rPr>
          <w:szCs w:val="24"/>
          <w:lang w:eastAsia="en-GB"/>
        </w:rPr>
        <w:t xml:space="preserve">] to assume liability for losses or damages incurred by the </w:t>
      </w:r>
      <w:r w:rsidR="00E926CE">
        <w:rPr>
          <w:szCs w:val="24"/>
          <w:lang w:eastAsia="en-GB"/>
        </w:rPr>
        <w:t>Information Provider</w:t>
      </w:r>
      <w:r w:rsidRPr="003D6A87">
        <w:rPr>
          <w:szCs w:val="24"/>
          <w:lang w:eastAsia="en-GB"/>
        </w:rPr>
        <w:t xml:space="preserve"> for any damages which are caused by any </w:t>
      </w:r>
      <w:r w:rsidRPr="003D6A87">
        <w:rPr>
          <w:rFonts w:eastAsia="Calibri"/>
          <w:szCs w:val="24"/>
          <w:lang w:eastAsia="en-GB"/>
        </w:rPr>
        <w:t>breach of the terms of the Agreement attributable to me</w:t>
      </w:r>
      <w:r w:rsidRPr="003D6A87">
        <w:rPr>
          <w:szCs w:val="24"/>
          <w:lang w:eastAsia="en-GB"/>
        </w:rPr>
        <w:t>.</w:t>
      </w:r>
      <w:bookmarkEnd w:id="11"/>
    </w:p>
    <w:p w14:paraId="620BDF83" w14:textId="3BCD50C8" w:rsidR="003D6A87" w:rsidRPr="003D6A87" w:rsidRDefault="003D6A87" w:rsidP="00726323">
      <w:pPr>
        <w:numPr>
          <w:ilvl w:val="1"/>
          <w:numId w:val="26"/>
        </w:numPr>
        <w:spacing w:after="200" w:line="276" w:lineRule="auto"/>
        <w:rPr>
          <w:szCs w:val="24"/>
          <w:lang w:eastAsia="en-GB"/>
        </w:rPr>
      </w:pPr>
      <w:r w:rsidRPr="003D6A87">
        <w:rPr>
          <w:szCs w:val="24"/>
          <w:highlight w:val="yellow"/>
          <w:lang w:eastAsia="en-GB"/>
        </w:rPr>
        <w:t>[FOR LAWYERS</w:t>
      </w:r>
      <w:r w:rsidRPr="003D6A87">
        <w:rPr>
          <w:szCs w:val="24"/>
          <w:lang w:eastAsia="en-GB"/>
        </w:rPr>
        <w:t xml:space="preserve"> I acknowledge that if the information from the Documents is used at any time for a purpose other than the purposes identified in Article 1 of this Agreement, then the Commission may report the incident to the my Bar association with a view to disciplinary action].</w:t>
      </w:r>
    </w:p>
    <w:p w14:paraId="7C8A9E1F" w14:textId="77777777" w:rsidR="003D6A87" w:rsidRPr="003D6A87" w:rsidRDefault="003D6A87">
      <w:pPr>
        <w:spacing w:after="0"/>
        <w:ind w:left="720"/>
        <w:contextualSpacing/>
        <w:rPr>
          <w:rFonts w:eastAsia="Calibri"/>
          <w:szCs w:val="24"/>
          <w:lang w:eastAsia="en-GB"/>
        </w:rPr>
      </w:pPr>
    </w:p>
    <w:p w14:paraId="6CE0FCED" w14:textId="0541D48C" w:rsidR="003D6A87" w:rsidRPr="003D6A87" w:rsidRDefault="003D6A87">
      <w:pPr>
        <w:spacing w:after="0"/>
        <w:rPr>
          <w:rFonts w:eastAsia="Calibri"/>
          <w:szCs w:val="24"/>
          <w:lang w:eastAsia="en-GB"/>
        </w:rPr>
      </w:pPr>
      <w:r w:rsidRPr="003D6A87">
        <w:rPr>
          <w:rFonts w:eastAsia="Calibri"/>
          <w:szCs w:val="24"/>
          <w:lang w:eastAsia="en-GB"/>
        </w:rPr>
        <w:t>The term "</w:t>
      </w:r>
      <w:r w:rsidRPr="003D6A87">
        <w:rPr>
          <w:rFonts w:eastAsia="Calibri"/>
          <w:b/>
          <w:szCs w:val="24"/>
          <w:lang w:eastAsia="en-GB"/>
        </w:rPr>
        <w:t>Documents</w:t>
      </w:r>
      <w:r w:rsidRPr="003D6A87">
        <w:rPr>
          <w:rFonts w:eastAsia="Calibri"/>
          <w:szCs w:val="24"/>
          <w:lang w:eastAsia="en-GB"/>
        </w:rPr>
        <w:t xml:space="preserve">" means </w:t>
      </w:r>
      <w:r w:rsidRPr="003D6A87">
        <w:rPr>
          <w:szCs w:val="24"/>
          <w:lang w:eastAsia="en-GB"/>
        </w:rPr>
        <w:t>[</w:t>
      </w:r>
      <w:r w:rsidRPr="003D6A87">
        <w:rPr>
          <w:szCs w:val="24"/>
          <w:highlight w:val="yellow"/>
          <w:lang w:eastAsia="en-GB"/>
        </w:rPr>
        <w:t>NUMBER</w:t>
      </w:r>
      <w:r w:rsidRPr="003D6A87">
        <w:rPr>
          <w:szCs w:val="24"/>
          <w:lang w:eastAsia="en-GB"/>
        </w:rPr>
        <w:t>] documents totalling around [</w:t>
      </w:r>
      <w:r w:rsidRPr="003D6A87">
        <w:rPr>
          <w:szCs w:val="24"/>
          <w:highlight w:val="yellow"/>
          <w:lang w:eastAsia="en-GB"/>
        </w:rPr>
        <w:t>NUMBER</w:t>
      </w:r>
      <w:r w:rsidRPr="003D6A87">
        <w:rPr>
          <w:szCs w:val="24"/>
          <w:lang w:eastAsia="en-GB"/>
        </w:rPr>
        <w:t xml:space="preserve">] pages received by the European Commission in the course of its investigation of the </w:t>
      </w:r>
      <w:r w:rsidRPr="003D6A87">
        <w:rPr>
          <w:rFonts w:eastAsia="Calibri"/>
          <w:szCs w:val="24"/>
          <w:lang w:eastAsia="en-GB"/>
        </w:rPr>
        <w:t>Case AT.</w:t>
      </w:r>
      <w:r w:rsidRPr="003D6A87">
        <w:rPr>
          <w:szCs w:val="24"/>
          <w:lang w:eastAsia="en-GB"/>
        </w:rPr>
        <w:t>[</w:t>
      </w:r>
      <w:r w:rsidRPr="003D6A87">
        <w:rPr>
          <w:szCs w:val="24"/>
          <w:highlight w:val="yellow"/>
          <w:lang w:eastAsia="en-GB"/>
        </w:rPr>
        <w:t>NUMBER</w:t>
      </w:r>
      <w:r w:rsidRPr="003D6A87">
        <w:rPr>
          <w:szCs w:val="24"/>
          <w:lang w:eastAsia="en-GB"/>
        </w:rPr>
        <w:t>] – [</w:t>
      </w:r>
      <w:r w:rsidRPr="003D6A87">
        <w:rPr>
          <w:szCs w:val="24"/>
          <w:highlight w:val="yellow"/>
          <w:lang w:eastAsia="en-GB"/>
        </w:rPr>
        <w:t>NAME</w:t>
      </w:r>
      <w:r w:rsidRPr="003D6A87">
        <w:rPr>
          <w:szCs w:val="24"/>
          <w:lang w:eastAsia="en-GB"/>
        </w:rPr>
        <w:t>]. These documents were submitted by to [</w:t>
      </w:r>
      <w:r w:rsidR="00E926CE">
        <w:rPr>
          <w:szCs w:val="24"/>
          <w:highlight w:val="yellow"/>
          <w:lang w:eastAsia="en-GB"/>
        </w:rPr>
        <w:t>INFORMATION PROVIDER</w:t>
      </w:r>
      <w:r w:rsidRPr="003D6A87">
        <w:rPr>
          <w:szCs w:val="24"/>
          <w:lang w:eastAsia="en-GB"/>
        </w:rPr>
        <w:t>], a [</w:t>
      </w:r>
      <w:r w:rsidRPr="003D6A87">
        <w:rPr>
          <w:szCs w:val="24"/>
          <w:highlight w:val="yellow"/>
          <w:lang w:eastAsia="en-GB"/>
        </w:rPr>
        <w:t>PLACE OF ESTABLISHMENT</w:t>
      </w:r>
      <w:r w:rsidRPr="003D6A87">
        <w:rPr>
          <w:szCs w:val="24"/>
          <w:lang w:eastAsia="en-GB"/>
        </w:rPr>
        <w:t>] corporation, with its principal place of business at [</w:t>
      </w:r>
      <w:r w:rsidRPr="003D6A87">
        <w:rPr>
          <w:szCs w:val="24"/>
          <w:highlight w:val="yellow"/>
          <w:lang w:eastAsia="en-GB"/>
        </w:rPr>
        <w:t>ADDRESS</w:t>
      </w:r>
      <w:r w:rsidRPr="003D6A87">
        <w:rPr>
          <w:szCs w:val="24"/>
          <w:lang w:eastAsia="en-GB"/>
        </w:rPr>
        <w:t xml:space="preserve">]. The documents are listed in </w:t>
      </w:r>
      <w:r w:rsidRPr="00726323">
        <w:rPr>
          <w:szCs w:val="24"/>
          <w:lang w:eastAsia="en-GB"/>
        </w:rPr>
        <w:t>Enclosure I to</w:t>
      </w:r>
      <w:r w:rsidRPr="003D6A87">
        <w:rPr>
          <w:szCs w:val="24"/>
          <w:lang w:eastAsia="en-GB"/>
        </w:rPr>
        <w:t xml:space="preserve"> </w:t>
      </w:r>
      <w:r w:rsidRPr="003D6A87">
        <w:rPr>
          <w:rFonts w:eastAsia="Calibri"/>
          <w:szCs w:val="24"/>
          <w:lang w:eastAsia="en-GB"/>
        </w:rPr>
        <w:t>the Negotiated Disclosure Agreement of [</w:t>
      </w:r>
      <w:r w:rsidRPr="003D6A87">
        <w:rPr>
          <w:rFonts w:eastAsia="Calibri"/>
          <w:szCs w:val="24"/>
          <w:highlight w:val="yellow"/>
          <w:lang w:eastAsia="en-GB"/>
        </w:rPr>
        <w:t>DATE OF THE AGREEMENT</w:t>
      </w:r>
      <w:r w:rsidRPr="003D6A87">
        <w:rPr>
          <w:rFonts w:eastAsia="Calibri"/>
          <w:szCs w:val="24"/>
          <w:lang w:eastAsia="en-GB"/>
        </w:rPr>
        <w:t>].</w:t>
      </w:r>
    </w:p>
    <w:p w14:paraId="0E53FF12" w14:textId="77777777" w:rsidR="003D6A87" w:rsidRPr="003D6A87" w:rsidRDefault="003D6A87">
      <w:pPr>
        <w:spacing w:after="0"/>
        <w:rPr>
          <w:rFonts w:eastAsia="Calibri"/>
          <w:szCs w:val="24"/>
          <w:lang w:eastAsia="en-GB"/>
        </w:rPr>
      </w:pPr>
    </w:p>
    <w:p w14:paraId="476D0977" w14:textId="77777777" w:rsidR="003D6A87" w:rsidRPr="003D6A87" w:rsidRDefault="003D6A87">
      <w:pPr>
        <w:spacing w:after="0"/>
        <w:rPr>
          <w:rFonts w:eastAsia="Calibri"/>
          <w:szCs w:val="24"/>
          <w:lang w:eastAsia="en-GB"/>
        </w:rPr>
      </w:pPr>
    </w:p>
    <w:p w14:paraId="3D10EF59" w14:textId="77777777" w:rsidR="003D6A87" w:rsidRPr="003D6A87" w:rsidRDefault="003D6A87">
      <w:pPr>
        <w:spacing w:after="0"/>
        <w:rPr>
          <w:rFonts w:eastAsia="Calibri"/>
          <w:szCs w:val="24"/>
          <w:lang w:eastAsia="en-GB"/>
        </w:rPr>
      </w:pPr>
    </w:p>
    <w:p w14:paraId="4DBB105C" w14:textId="77777777" w:rsidR="003D6A87" w:rsidRPr="003D6A87" w:rsidRDefault="003D6A87">
      <w:pPr>
        <w:spacing w:after="0"/>
        <w:rPr>
          <w:rFonts w:eastAsia="Calibri"/>
          <w:szCs w:val="24"/>
          <w:lang w:eastAsia="en-GB"/>
        </w:rPr>
      </w:pPr>
    </w:p>
    <w:p w14:paraId="1C6F69E6" w14:textId="77777777" w:rsidR="003D6A87" w:rsidRPr="003D6A87" w:rsidRDefault="003D6A87">
      <w:pPr>
        <w:spacing w:after="0"/>
        <w:rPr>
          <w:rFonts w:eastAsia="Calibri"/>
          <w:szCs w:val="24"/>
          <w:lang w:eastAsia="en-GB"/>
        </w:rPr>
      </w:pPr>
    </w:p>
    <w:p w14:paraId="793E532D" w14:textId="77777777" w:rsidR="003D6A87" w:rsidRPr="003D6A87" w:rsidRDefault="003D6A87">
      <w:pPr>
        <w:spacing w:after="0"/>
        <w:rPr>
          <w:rFonts w:eastAsia="Calibri"/>
          <w:szCs w:val="24"/>
          <w:lang w:eastAsia="en-GB"/>
        </w:rPr>
      </w:pPr>
    </w:p>
    <w:p w14:paraId="6709CF25" w14:textId="77777777" w:rsidR="003D6A87" w:rsidRPr="003D6A87" w:rsidRDefault="003D6A87">
      <w:pPr>
        <w:spacing w:after="0"/>
        <w:rPr>
          <w:rFonts w:eastAsia="Calibri"/>
          <w:szCs w:val="24"/>
          <w:lang w:eastAsia="en-GB"/>
        </w:rPr>
      </w:pPr>
      <w:r w:rsidRPr="003D6A87">
        <w:rPr>
          <w:rFonts w:eastAsia="Calibri"/>
          <w:szCs w:val="24"/>
          <w:lang w:eastAsia="en-GB"/>
        </w:rPr>
        <w:t>In [</w:t>
      </w:r>
      <w:r w:rsidRPr="003D6A87">
        <w:rPr>
          <w:rFonts w:eastAsia="Calibri"/>
          <w:szCs w:val="24"/>
          <w:highlight w:val="yellow"/>
          <w:lang w:eastAsia="en-GB"/>
        </w:rPr>
        <w:t>PLACE</w:t>
      </w:r>
      <w:r w:rsidRPr="003D6A87">
        <w:rPr>
          <w:rFonts w:eastAsia="Calibri"/>
          <w:szCs w:val="24"/>
          <w:lang w:eastAsia="en-GB"/>
        </w:rPr>
        <w:t>], on [</w:t>
      </w:r>
      <w:r w:rsidRPr="003D6A87">
        <w:rPr>
          <w:rFonts w:eastAsia="Calibri"/>
          <w:szCs w:val="24"/>
          <w:highlight w:val="yellow"/>
          <w:lang w:eastAsia="en-GB"/>
        </w:rPr>
        <w:t>DATE</w:t>
      </w:r>
      <w:r w:rsidRPr="003D6A87">
        <w:rPr>
          <w:rFonts w:eastAsia="Calibri"/>
          <w:szCs w:val="24"/>
          <w:lang w:eastAsia="en-GB"/>
        </w:rPr>
        <w:t>]</w:t>
      </w:r>
      <w:r w:rsidRPr="003D6A87">
        <w:rPr>
          <w:rFonts w:eastAsia="Calibri"/>
          <w:szCs w:val="24"/>
          <w:lang w:eastAsia="en-GB"/>
        </w:rPr>
        <w:tab/>
      </w:r>
      <w:r w:rsidRPr="003D6A87">
        <w:rPr>
          <w:rFonts w:eastAsia="Calibri"/>
          <w:szCs w:val="24"/>
          <w:lang w:eastAsia="en-GB"/>
        </w:rPr>
        <w:tab/>
      </w:r>
      <w:r w:rsidRPr="003D6A87">
        <w:rPr>
          <w:rFonts w:eastAsia="Calibri"/>
          <w:szCs w:val="24"/>
          <w:lang w:eastAsia="en-GB"/>
        </w:rPr>
        <w:tab/>
      </w:r>
      <w:r w:rsidRPr="003D6A87">
        <w:rPr>
          <w:rFonts w:eastAsia="Calibri"/>
          <w:szCs w:val="24"/>
          <w:lang w:eastAsia="en-GB"/>
        </w:rPr>
        <w:tab/>
        <w:t>Name:</w:t>
      </w:r>
    </w:p>
    <w:p w14:paraId="7E5CAA8F" w14:textId="77777777" w:rsidR="003D6A87" w:rsidRPr="003D6A87" w:rsidRDefault="003D6A87">
      <w:pPr>
        <w:spacing w:after="0"/>
        <w:rPr>
          <w:rFonts w:eastAsia="Calibri"/>
          <w:szCs w:val="24"/>
          <w:lang w:eastAsia="en-GB"/>
        </w:rPr>
      </w:pPr>
    </w:p>
    <w:p w14:paraId="44083446" w14:textId="77777777" w:rsidR="003D6A87" w:rsidRPr="003D6A87" w:rsidRDefault="003D6A87">
      <w:pPr>
        <w:spacing w:after="0"/>
        <w:rPr>
          <w:rFonts w:eastAsia="Calibri"/>
          <w:szCs w:val="24"/>
          <w:lang w:eastAsia="en-GB"/>
        </w:rPr>
      </w:pPr>
    </w:p>
    <w:p w14:paraId="09CA32BB" w14:textId="77777777" w:rsidR="003D6A87" w:rsidRPr="003D6A87" w:rsidRDefault="003D6A87">
      <w:pPr>
        <w:spacing w:after="0"/>
        <w:ind w:left="4320" w:firstLine="720"/>
        <w:rPr>
          <w:rFonts w:eastAsia="Calibri"/>
          <w:szCs w:val="24"/>
          <w:lang w:eastAsia="en-GB"/>
        </w:rPr>
      </w:pPr>
      <w:r w:rsidRPr="003D6A87">
        <w:rPr>
          <w:rFonts w:eastAsia="Calibri"/>
          <w:szCs w:val="24"/>
          <w:lang w:eastAsia="en-GB"/>
        </w:rPr>
        <w:t>Signature:</w:t>
      </w:r>
      <w:r w:rsidRPr="003D6A87">
        <w:rPr>
          <w:szCs w:val="24"/>
          <w:lang w:eastAsia="en-GB"/>
        </w:rPr>
        <w:t>………………………………</w:t>
      </w:r>
    </w:p>
    <w:p w14:paraId="2D08E67C" w14:textId="77777777" w:rsidR="003D6A87" w:rsidRPr="003D6A87" w:rsidRDefault="003D6A87">
      <w:pPr>
        <w:spacing w:after="0"/>
        <w:rPr>
          <w:rFonts w:eastAsia="Calibri"/>
          <w:szCs w:val="24"/>
          <w:lang w:eastAsia="en-GB"/>
        </w:rPr>
      </w:pPr>
      <w:r w:rsidRPr="003D6A87">
        <w:rPr>
          <w:rFonts w:eastAsia="Calibri"/>
          <w:szCs w:val="24"/>
          <w:lang w:eastAsia="en-GB"/>
        </w:rPr>
        <w:br w:type="page"/>
      </w:r>
    </w:p>
    <w:p w14:paraId="497EDF84" w14:textId="77777777" w:rsidR="003D6A87" w:rsidRPr="003D6A87" w:rsidRDefault="003D6A87">
      <w:pPr>
        <w:spacing w:after="0"/>
        <w:rPr>
          <w:rFonts w:eastAsia="Calibri"/>
          <w:b/>
          <w:szCs w:val="24"/>
          <w:lang w:eastAsia="en-GB"/>
        </w:rPr>
      </w:pPr>
      <w:r w:rsidRPr="003D6A87">
        <w:rPr>
          <w:rFonts w:eastAsia="Calibri"/>
          <w:b/>
          <w:szCs w:val="24"/>
          <w:lang w:eastAsia="en-GB"/>
        </w:rPr>
        <w:t xml:space="preserve">ENCLOSURE I </w:t>
      </w:r>
    </w:p>
    <w:p w14:paraId="235194D6" w14:textId="77777777" w:rsidR="003D6A87" w:rsidRPr="003D6A87" w:rsidRDefault="003D6A87">
      <w:pPr>
        <w:spacing w:after="0"/>
        <w:rPr>
          <w:rFonts w:eastAsia="Calibri"/>
          <w:szCs w:val="24"/>
          <w:lang w:eastAsia="en-GB"/>
        </w:rPr>
      </w:pPr>
    </w:p>
    <w:p w14:paraId="0BC78CF8" w14:textId="77777777" w:rsidR="003D6A87" w:rsidRPr="003D6A87" w:rsidRDefault="003D6A87">
      <w:pPr>
        <w:spacing w:after="0"/>
        <w:rPr>
          <w:rFonts w:eastAsia="Calibri"/>
          <w:szCs w:val="24"/>
          <w:lang w:eastAsia="en-GB"/>
        </w:rPr>
      </w:pPr>
    </w:p>
    <w:p w14:paraId="0177B48E" w14:textId="77777777" w:rsidR="003D6A87" w:rsidRPr="003D6A87" w:rsidRDefault="003D6A87">
      <w:pPr>
        <w:spacing w:after="0"/>
        <w:rPr>
          <w:rFonts w:eastAsia="Calibri"/>
          <w:szCs w:val="24"/>
          <w:lang w:eastAsia="en-GB"/>
        </w:rPr>
      </w:pPr>
      <w:r w:rsidRPr="003D6A87">
        <w:rPr>
          <w:rFonts w:eastAsia="Calibri"/>
          <w:szCs w:val="24"/>
          <w:lang w:eastAsia="en-GB"/>
        </w:rPr>
        <w:t>[</w:t>
      </w:r>
      <w:r w:rsidRPr="003D6A87">
        <w:rPr>
          <w:rFonts w:eastAsia="Calibri"/>
          <w:szCs w:val="24"/>
          <w:highlight w:val="yellow"/>
          <w:lang w:eastAsia="en-GB"/>
        </w:rPr>
        <w:t>LIST OF DOCUMENTS</w:t>
      </w:r>
      <w:r w:rsidRPr="003D6A87">
        <w:rPr>
          <w:rFonts w:eastAsia="Calibri"/>
          <w:szCs w:val="24"/>
          <w:lang w:eastAsia="en-GB"/>
        </w:rPr>
        <w:t>]</w:t>
      </w:r>
    </w:p>
    <w:p w14:paraId="68565060" w14:textId="77777777" w:rsidR="003D6A87" w:rsidRPr="003D6A87" w:rsidRDefault="003D6A87">
      <w:pPr>
        <w:spacing w:after="0"/>
        <w:rPr>
          <w:rFonts w:eastAsia="Calibri"/>
          <w:szCs w:val="24"/>
          <w:lang w:eastAsia="en-GB"/>
        </w:rPr>
      </w:pPr>
      <w:r w:rsidRPr="003D6A87">
        <w:rPr>
          <w:rFonts w:eastAsia="Calibri"/>
          <w:szCs w:val="24"/>
          <w:lang w:eastAsia="en-GB"/>
        </w:rPr>
        <w:br w:type="page"/>
      </w:r>
    </w:p>
    <w:p w14:paraId="525653D5" w14:textId="77777777" w:rsidR="003D6A87" w:rsidRPr="003D6A87" w:rsidRDefault="003D6A87">
      <w:pPr>
        <w:spacing w:after="0"/>
        <w:rPr>
          <w:rFonts w:eastAsia="Calibri"/>
          <w:b/>
          <w:szCs w:val="24"/>
          <w:lang w:eastAsia="en-GB"/>
        </w:rPr>
      </w:pPr>
      <w:r w:rsidRPr="003D6A87">
        <w:rPr>
          <w:rFonts w:eastAsia="Calibri"/>
          <w:b/>
          <w:szCs w:val="24"/>
          <w:lang w:eastAsia="en-GB"/>
        </w:rPr>
        <w:t xml:space="preserve">ENCLOSURE II </w:t>
      </w:r>
    </w:p>
    <w:p w14:paraId="54DAF954" w14:textId="77777777" w:rsidR="003D6A87" w:rsidRPr="003D6A87" w:rsidRDefault="003D6A87">
      <w:pPr>
        <w:spacing w:after="0"/>
        <w:rPr>
          <w:rFonts w:eastAsia="Calibri"/>
          <w:szCs w:val="24"/>
          <w:lang w:eastAsia="en-GB"/>
        </w:rPr>
      </w:pPr>
    </w:p>
    <w:p w14:paraId="6F9BFB62" w14:textId="77777777" w:rsidR="003D6A87" w:rsidRPr="003D6A87" w:rsidRDefault="003D6A87">
      <w:pPr>
        <w:spacing w:after="0"/>
        <w:rPr>
          <w:rFonts w:eastAsia="Calibri"/>
          <w:szCs w:val="24"/>
          <w:lang w:eastAsia="en-GB"/>
        </w:rPr>
      </w:pPr>
    </w:p>
    <w:p w14:paraId="4E07BFB5" w14:textId="77777777" w:rsidR="003D6A87" w:rsidRPr="003D6A87" w:rsidRDefault="003D6A87">
      <w:pPr>
        <w:spacing w:after="0"/>
        <w:rPr>
          <w:rFonts w:eastAsia="Calibri"/>
          <w:szCs w:val="24"/>
          <w:lang w:eastAsia="en-GB"/>
        </w:rPr>
      </w:pPr>
      <w:r w:rsidRPr="003D6A87">
        <w:rPr>
          <w:rFonts w:eastAsia="Calibri"/>
          <w:szCs w:val="24"/>
          <w:lang w:eastAsia="en-GB"/>
        </w:rPr>
        <w:t>[</w:t>
      </w:r>
      <w:r w:rsidRPr="003D6A87">
        <w:rPr>
          <w:rFonts w:eastAsia="Calibri"/>
          <w:szCs w:val="24"/>
          <w:highlight w:val="yellow"/>
          <w:lang w:eastAsia="en-GB"/>
        </w:rPr>
        <w:t>LIST OF MEMBERS, INDICATING NAME, FUNCTION AND A FIRM</w:t>
      </w:r>
      <w:r w:rsidRPr="003D6A87">
        <w:rPr>
          <w:rFonts w:eastAsia="Calibri"/>
          <w:szCs w:val="24"/>
          <w:lang w:eastAsia="en-GB"/>
        </w:rPr>
        <w:t>]</w:t>
      </w:r>
    </w:p>
    <w:p w14:paraId="1A526C2E" w14:textId="77777777" w:rsidR="003D6A87" w:rsidRPr="003D6A87" w:rsidRDefault="003D6A87">
      <w:pPr>
        <w:spacing w:after="200" w:line="276" w:lineRule="auto"/>
        <w:ind w:left="720"/>
        <w:rPr>
          <w:szCs w:val="24"/>
          <w:lang w:eastAsia="en-GB"/>
        </w:rPr>
      </w:pPr>
    </w:p>
    <w:p w14:paraId="63ED6316" w14:textId="77777777" w:rsidR="003D6A87" w:rsidRPr="003D6A87" w:rsidRDefault="003D6A87" w:rsidP="00726323">
      <w:pPr>
        <w:pStyle w:val="SubTitle1"/>
        <w:jc w:val="both"/>
      </w:pPr>
    </w:p>
    <w:sectPr w:rsidR="003D6A87" w:rsidRPr="003D6A87" w:rsidSect="003D6A87">
      <w:headerReference w:type="default" r:id="rId12"/>
      <w:footerReference w:type="default" r:id="rId13"/>
      <w:headerReference w:type="first" r:id="rId14"/>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CFE49" w14:textId="77777777" w:rsidR="00303953" w:rsidRDefault="00303953" w:rsidP="00692EF5">
      <w:pPr>
        <w:spacing w:after="0"/>
      </w:pPr>
      <w:r>
        <w:separator/>
      </w:r>
    </w:p>
  </w:endnote>
  <w:endnote w:type="continuationSeparator" w:id="0">
    <w:p w14:paraId="189E60A3" w14:textId="77777777" w:rsidR="00303953" w:rsidRDefault="00303953" w:rsidP="00692EF5">
      <w:pPr>
        <w:spacing w:after="0"/>
      </w:pPr>
      <w:r>
        <w:continuationSeparator/>
      </w:r>
    </w:p>
  </w:endnote>
  <w:endnote w:type="continuationNotice" w:id="1">
    <w:p w14:paraId="5E43B973" w14:textId="77777777" w:rsidR="00303953" w:rsidRDefault="003039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F40A7" w14:textId="77777777" w:rsidR="00F57AE7" w:rsidRDefault="00F57AE7">
    <w:pPr>
      <w:pStyle w:val="Footer"/>
      <w:jc w:val="center"/>
    </w:pPr>
  </w:p>
  <w:p w14:paraId="58083979" w14:textId="28E9EF13" w:rsidR="00F57AE7" w:rsidRDefault="00F57AE7">
    <w:pPr>
      <w:pStyle w:val="Footer"/>
      <w:jc w:val="center"/>
    </w:pPr>
    <w:r>
      <w:fldChar w:fldCharType="begin"/>
    </w:r>
    <w:r>
      <w:instrText>PAGE</w:instrText>
    </w:r>
    <w:r>
      <w:fldChar w:fldCharType="separate"/>
    </w:r>
    <w:r w:rsidR="00C076F2">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49433" w14:textId="77777777" w:rsidR="00303953" w:rsidRDefault="00303953" w:rsidP="00692EF5">
      <w:pPr>
        <w:spacing w:after="0"/>
      </w:pPr>
      <w:r>
        <w:separator/>
      </w:r>
    </w:p>
  </w:footnote>
  <w:footnote w:type="continuationSeparator" w:id="0">
    <w:p w14:paraId="3BBA274F" w14:textId="77777777" w:rsidR="00303953" w:rsidRDefault="00303953" w:rsidP="00692EF5">
      <w:pPr>
        <w:spacing w:after="0"/>
      </w:pPr>
      <w:r>
        <w:continuationSeparator/>
      </w:r>
    </w:p>
  </w:footnote>
  <w:footnote w:type="continuationNotice" w:id="1">
    <w:p w14:paraId="09FC4803" w14:textId="77777777" w:rsidR="00303953" w:rsidRDefault="00303953">
      <w:pPr>
        <w:spacing w:after="0"/>
      </w:pPr>
    </w:p>
  </w:footnote>
  <w:footnote w:id="2">
    <w:p w14:paraId="42ABE446" w14:textId="5A01BA12" w:rsidR="00A02343" w:rsidRPr="00A02343" w:rsidRDefault="00A02343" w:rsidP="00D731D1">
      <w:pPr>
        <w:pStyle w:val="FootnoteText"/>
      </w:pPr>
      <w:r>
        <w:rPr>
          <w:rStyle w:val="FootnoteReference"/>
        </w:rPr>
        <w:footnoteRef/>
      </w:r>
      <w:r>
        <w:t xml:space="preserve"> </w:t>
      </w:r>
      <w:r w:rsidRPr="003D6A87">
        <w:rPr>
          <w:szCs w:val="24"/>
          <w:lang w:eastAsia="en-GB"/>
        </w:rPr>
        <w:t>In 2015, DG Competition published Best Practices on the disclosure of information in data rooms on its website</w:t>
      </w:r>
      <w:r>
        <w:rPr>
          <w:szCs w:val="24"/>
          <w:lang w:eastAsia="en-GB"/>
        </w:rPr>
        <w:t xml:space="preserve">. </w:t>
      </w:r>
      <w:r w:rsidRPr="00A4122E">
        <w:t>Available via</w:t>
      </w:r>
      <w:r w:rsidR="00D731D1">
        <w:tab/>
      </w:r>
      <w:r w:rsidRPr="00A4122E">
        <w:t xml:space="preserve"> </w:t>
      </w:r>
      <w:hyperlink r:id="rId1" w:history="1">
        <w:r w:rsidRPr="00A4122E">
          <w:rPr>
            <w:rStyle w:val="Hyperlink"/>
          </w:rPr>
          <w:t>http://ec.europa.eu/competition/mergers/legislation/disclosure_information_data_rooms_en.pdf</w:t>
        </w:r>
      </w:hyperlink>
      <w:r w:rsidRPr="00A4122E">
        <w:t xml:space="preserve"> </w:t>
      </w:r>
      <w:r w:rsidR="00092487">
        <w:t>.</w:t>
      </w:r>
      <w:r w:rsidRPr="00A4122E">
        <w:t>These Best Practices are accompanied by standard data room rules</w:t>
      </w:r>
      <w:r>
        <w:t>:</w:t>
      </w:r>
      <w:r w:rsidR="00D731D1">
        <w:tab/>
      </w:r>
      <w:r w:rsidRPr="00A4122E">
        <w:t xml:space="preserve"> </w:t>
      </w:r>
      <w:hyperlink r:id="rId2" w:history="1">
        <w:r w:rsidRPr="006B3779">
          <w:rPr>
            <w:rStyle w:val="Hyperlink"/>
          </w:rPr>
          <w:t>http://ec.europa.eu/competition/mergers/legislation/data_room_rules_en.pdf</w:t>
        </w:r>
      </w:hyperlink>
      <w:r>
        <w:t xml:space="preserve"> and a standard non-disclosure agreement:</w:t>
      </w:r>
      <w:r w:rsidR="00D731D1">
        <w:tab/>
      </w:r>
      <w:r>
        <w:t xml:space="preserve"> </w:t>
      </w:r>
      <w:hyperlink r:id="rId3" w:history="1">
        <w:r w:rsidRPr="006B3779">
          <w:rPr>
            <w:rStyle w:val="Hyperlink"/>
          </w:rPr>
          <w:t>http://ec.europa.eu/competition/mergers/legislation/non_disclosure_agreement_en.pdf</w:t>
        </w:r>
      </w:hyperlink>
    </w:p>
  </w:footnote>
  <w:footnote w:id="3">
    <w:p w14:paraId="016C7F00" w14:textId="4EA0CC04" w:rsidR="003D6A87" w:rsidRPr="008F59D2" w:rsidRDefault="003D6A87" w:rsidP="00726323">
      <w:pPr>
        <w:pStyle w:val="FootnoteText"/>
      </w:pPr>
      <w:r>
        <w:rPr>
          <w:rStyle w:val="FootnoteReference"/>
        </w:rPr>
        <w:footnoteRef/>
      </w:r>
      <w:r>
        <w:t xml:space="preserve"> </w:t>
      </w:r>
      <w:r w:rsidRPr="008F59D2">
        <w:t>Article 41(2)(b) of the Charter of Fundamental Rights, OJ C 83, 30.3.2010, p. 389 (hereafter "the Charter"); The right of the parties to have access to file is also laid down in Article 27 (1) and (2) of Regulation (EC) No 1/2003 on the implementation of the rules on competition laid down in Articles 81 and 82 of the Treaty, OJ L 1, 4.1.2003, p. 1 (hereafter "Regulation No. 1/2003"); and Article 15 of Regulation (EC) No 773/2004 relating to the conduct of proceedings by the Commission pursuant to Articles 81 and 82 of the EC Treaty, OJ L 123, 27.4.2004, p. 18 (hereafter "Regulation No 773/2004")</w:t>
      </w:r>
      <w:r w:rsidR="002D0CBC">
        <w:t xml:space="preserve">, as amended by </w:t>
      </w:r>
      <w:r w:rsidR="002D0CBC" w:rsidRPr="002D0CBC">
        <w:t>Commission Regulation (EU) 2015/1348 of 3 August 2015</w:t>
      </w:r>
      <w:r w:rsidR="002D0CBC">
        <w:t>, OJ L 208, 5.8.2015.</w:t>
      </w:r>
    </w:p>
  </w:footnote>
  <w:footnote w:id="4">
    <w:p w14:paraId="3A50E370" w14:textId="0F4C335C" w:rsidR="003D6A87" w:rsidRPr="008F59D2" w:rsidRDefault="003D6A87" w:rsidP="00726323">
      <w:pPr>
        <w:pStyle w:val="FootnoteText"/>
      </w:pPr>
      <w:r>
        <w:rPr>
          <w:rStyle w:val="FootnoteReference"/>
        </w:rPr>
        <w:footnoteRef/>
      </w:r>
      <w:r>
        <w:t xml:space="preserve"> Commission Notice on the rules for access to the Commission file in cases pursuant to Articles 81 and 82 of the EC Treaty, Articles 53, 54 and 57 of the EEA Agreement and Council Regulation (EC) No 139/2004, OJ C 325, 22.12.2005, p. 7-15</w:t>
      </w:r>
    </w:p>
  </w:footnote>
  <w:footnote w:id="5">
    <w:p w14:paraId="4C32219F" w14:textId="77777777" w:rsidR="003D6A87" w:rsidRPr="00195083" w:rsidRDefault="003D6A87" w:rsidP="00726323">
      <w:pPr>
        <w:pStyle w:val="FootnoteText"/>
      </w:pPr>
      <w:r>
        <w:rPr>
          <w:rStyle w:val="FootnoteReference"/>
        </w:rPr>
        <w:footnoteRef/>
      </w:r>
      <w:r>
        <w:t xml:space="preserve"> </w:t>
      </w:r>
      <w:r w:rsidRPr="008F59D2">
        <w:t xml:space="preserve">See Article 15(3) of </w:t>
      </w:r>
      <w:r>
        <w:t>Regulation No 773/2004</w:t>
      </w:r>
      <w:r w:rsidRPr="008F59D2">
        <w:t>.</w:t>
      </w:r>
    </w:p>
  </w:footnote>
  <w:footnote w:id="6">
    <w:p w14:paraId="3A409F36" w14:textId="77777777" w:rsidR="003D6A87" w:rsidRPr="00195083" w:rsidRDefault="003D6A87" w:rsidP="00726323">
      <w:pPr>
        <w:pStyle w:val="FootnoteText"/>
      </w:pPr>
      <w:r>
        <w:rPr>
          <w:rStyle w:val="FootnoteReference"/>
        </w:rPr>
        <w:footnoteRef/>
      </w:r>
      <w:r>
        <w:t xml:space="preserve"> </w:t>
      </w:r>
      <w:r w:rsidRPr="008F59D2">
        <w:t>See also in this context point 24 of the Access to File Notice</w:t>
      </w:r>
    </w:p>
  </w:footnote>
  <w:footnote w:id="7">
    <w:p w14:paraId="5C28BB46" w14:textId="77777777" w:rsidR="003D6A87" w:rsidRPr="001E03DD" w:rsidRDefault="003D6A87" w:rsidP="00726323">
      <w:pPr>
        <w:pStyle w:val="FootnoteText"/>
      </w:pPr>
      <w:r>
        <w:rPr>
          <w:rStyle w:val="FootnoteReference"/>
        </w:rPr>
        <w:footnoteRef/>
      </w:r>
      <w:r>
        <w:t xml:space="preserve"> Commission notice on best practices for the conduct of proceedings concerning Articles 101 and 102 TFEU, OJ C 308, 20.10.2011, p. 6.</w:t>
      </w:r>
    </w:p>
  </w:footnote>
  <w:footnote w:id="8">
    <w:p w14:paraId="5A7743CB" w14:textId="5583E340" w:rsidR="003D6A87" w:rsidRPr="006255EE" w:rsidRDefault="003D6A87" w:rsidP="00726323">
      <w:pPr>
        <w:pStyle w:val="FootnoteText"/>
      </w:pPr>
      <w:r>
        <w:rPr>
          <w:rStyle w:val="FootnoteReference"/>
        </w:rPr>
        <w:footnoteRef/>
      </w:r>
      <w:r>
        <w:t xml:space="preserve"> </w:t>
      </w:r>
      <w:r w:rsidRPr="006255EE">
        <w:t>See Article</w:t>
      </w:r>
      <w:r w:rsidR="00ED4755">
        <w:t>s</w:t>
      </w:r>
      <w:r w:rsidRPr="006255EE">
        <w:t xml:space="preserve"> 3(7)</w:t>
      </w:r>
      <w:r w:rsidR="006E20DF">
        <w:t xml:space="preserve"> and</w:t>
      </w:r>
      <w:r w:rsidR="00ED4755">
        <w:t xml:space="preserve"> 7(1) </w:t>
      </w:r>
      <w:r w:rsidRPr="006255EE">
        <w:t xml:space="preserve">of </w:t>
      </w:r>
      <w:r w:rsidR="00ED4755" w:rsidRPr="003D6A87">
        <w:t>Decision 2011/695/EU of the President of the European Commission on the function and terms of reference of the hearing officer in certain competition proceedings</w:t>
      </w:r>
      <w:r w:rsidR="00ED4755">
        <w:t xml:space="preserve">, </w:t>
      </w:r>
      <w:r w:rsidR="00ED4755" w:rsidRPr="003D6A87">
        <w:t>OJ L 275, 20.10.2011, p. 29</w:t>
      </w:r>
      <w:r w:rsidR="00ED4755">
        <w:t>.</w:t>
      </w:r>
      <w:r w:rsidR="00ED4755" w:rsidRPr="003D6A87">
        <w:t xml:space="preserve"> ("Hearing Officers' Terms of Reference")</w:t>
      </w:r>
      <w:r w:rsidR="00ED4755">
        <w:t>.</w:t>
      </w:r>
    </w:p>
  </w:footnote>
  <w:footnote w:id="9">
    <w:p w14:paraId="670CE9FD" w14:textId="77777777" w:rsidR="003D6A87" w:rsidRPr="00652B5B" w:rsidRDefault="003D6A87" w:rsidP="00D731D1">
      <w:pPr>
        <w:pStyle w:val="FootnoteText"/>
        <w:spacing w:after="120"/>
      </w:pPr>
      <w:r w:rsidRPr="00652B5B">
        <w:rPr>
          <w:rStyle w:val="FootnoteReference"/>
        </w:rPr>
        <w:footnoteRef/>
      </w:r>
      <w:r w:rsidRPr="00652B5B">
        <w:t xml:space="preserve"> Council Regulation (EC) No 1/2003 of 16 December 2002 on the implementation of the rules on competition laid down in Articles 81 and 82 of the Treaty, OJ L 1, 4.1.2003, p. 1.</w:t>
      </w:r>
    </w:p>
  </w:footnote>
  <w:footnote w:id="10">
    <w:p w14:paraId="75798179" w14:textId="2FE8D1F0" w:rsidR="003D6A87" w:rsidRPr="00652B5B" w:rsidRDefault="003D6A87">
      <w:pPr>
        <w:pStyle w:val="FootnoteText"/>
        <w:spacing w:after="120"/>
      </w:pPr>
      <w:r w:rsidRPr="00652B5B">
        <w:rPr>
          <w:rStyle w:val="FootnoteReference"/>
        </w:rPr>
        <w:footnoteRef/>
      </w:r>
      <w:r w:rsidRPr="00652B5B">
        <w:t xml:space="preserve"> Commission Regulation (EC) No 773/2004 of 7 April 2004 relating to the conduct of proceedings by the Commission pursuant to Articles 81 and 82 of the Treaty, OJ L 123, 27.4.2004, p. 18</w:t>
      </w:r>
      <w:r w:rsidR="002D0CBC">
        <w:t xml:space="preserve">, </w:t>
      </w:r>
      <w:r w:rsidR="002D0CBC" w:rsidRPr="002D0CBC">
        <w:t>as amended by Commission Regulation (EU) 2015/1348 of 3 August 2015, OJ L 208, 5.8.2015.</w:t>
      </w:r>
      <w:r w:rsidRPr="00652B5B">
        <w:t>.</w:t>
      </w:r>
    </w:p>
  </w:footnote>
  <w:footnote w:id="11">
    <w:p w14:paraId="5168F4BE" w14:textId="77777777" w:rsidR="003D6A87" w:rsidRPr="00652B5B" w:rsidRDefault="003D6A87">
      <w:pPr>
        <w:pStyle w:val="FootnoteText"/>
        <w:spacing w:after="120"/>
      </w:pPr>
      <w:r w:rsidRPr="00652B5B">
        <w:rPr>
          <w:rStyle w:val="FootnoteReference"/>
        </w:rPr>
        <w:footnoteRef/>
      </w:r>
      <w:r w:rsidRPr="00652B5B">
        <w:t xml:space="preserve"> Commission Notice on the rules for access to the Commission file in cases pursuant to Articles 81 and 82 of the EC Treaty, Articles 53, 54, 57 of the EEA Agreement and Council Regulation (EC) No 139/2004, OJ C 325 22.12.2005, p. 7.</w:t>
      </w:r>
    </w:p>
  </w:footnote>
  <w:footnote w:id="12">
    <w:p w14:paraId="42820B8B" w14:textId="77777777" w:rsidR="003D6A87" w:rsidRPr="00652B5B" w:rsidRDefault="003D6A87">
      <w:pPr>
        <w:pStyle w:val="FootnoteText"/>
        <w:spacing w:after="120"/>
      </w:pPr>
      <w:r w:rsidRPr="00652B5B">
        <w:rPr>
          <w:rStyle w:val="FootnoteReference"/>
        </w:rPr>
        <w:footnoteRef/>
      </w:r>
      <w:r w:rsidRPr="00652B5B">
        <w:t xml:space="preserve"> Commission Notice on the rules for access to the Commission file in cases pursuant to Articles 81 and 82 of the EC Treaty, Articles 53, 54 and 57 of the EEA Agreement and Council Regulation (EC) No 139/2004, point 10.</w:t>
      </w:r>
    </w:p>
  </w:footnote>
  <w:footnote w:id="13">
    <w:p w14:paraId="1201AA44" w14:textId="77777777" w:rsidR="003D6A87" w:rsidRPr="00652B5B" w:rsidRDefault="003D6A87">
      <w:pPr>
        <w:pStyle w:val="FootnoteText"/>
        <w:spacing w:after="120"/>
      </w:pPr>
      <w:r w:rsidRPr="00652B5B">
        <w:rPr>
          <w:rStyle w:val="FootnoteReference"/>
        </w:rPr>
        <w:footnoteRef/>
      </w:r>
      <w:r w:rsidRPr="00652B5B">
        <w:t xml:space="preserve"> See by analogy Case T-45/98, </w:t>
      </w:r>
      <w:r w:rsidRPr="00726323">
        <w:rPr>
          <w:i/>
        </w:rPr>
        <w:t>Krupp Thyssen Stainless v Commission</w:t>
      </w:r>
      <w:r w:rsidRPr="00652B5B">
        <w:t>, EU:T:2001:288, paragraph 63.</w:t>
      </w:r>
    </w:p>
  </w:footnote>
  <w:footnote w:id="14">
    <w:p w14:paraId="63D0022E" w14:textId="77777777" w:rsidR="005E42FB" w:rsidRPr="00652B5B" w:rsidRDefault="005E42FB">
      <w:pPr>
        <w:pStyle w:val="FootnoteText"/>
        <w:spacing w:after="120"/>
      </w:pPr>
      <w:r w:rsidRPr="00652B5B">
        <w:rPr>
          <w:rStyle w:val="FootnoteReference"/>
        </w:rPr>
        <w:footnoteRef/>
      </w:r>
      <w:r w:rsidRPr="00652B5B">
        <w:t xml:space="preserve"> Decision of the President of the European Commission of 13 October 2011 on the functions and terms of reference of the hearing officer in certain competition proceedings OJ L275, 20.10.2011, p. 29.</w:t>
      </w:r>
      <w:r w:rsidRPr="00652B5B">
        <w:tab/>
      </w:r>
    </w:p>
  </w:footnote>
  <w:footnote w:id="15">
    <w:p w14:paraId="0E012DE2" w14:textId="77777777" w:rsidR="003D6A87" w:rsidRPr="00652B5B" w:rsidRDefault="003D6A87">
      <w:pPr>
        <w:pStyle w:val="FootnoteText"/>
        <w:spacing w:after="120"/>
      </w:pPr>
      <w:r w:rsidRPr="00652B5B">
        <w:rPr>
          <w:rStyle w:val="FootnoteReference"/>
        </w:rPr>
        <w:footnoteRef/>
      </w:r>
      <w:r w:rsidRPr="00652B5B">
        <w:t xml:space="preserve"> Decision of the President of the European Commission of 13 October 2011 on the functions and terms of reference of the hearing officer in certain competition proceedings OJ L275, 20.10.2011, p.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83978" w14:textId="77777777" w:rsidR="00F57AE7" w:rsidRPr="004D36E7" w:rsidRDefault="00F57AE7" w:rsidP="004D36E7">
    <w:pPr>
      <w:pStyle w:val="Header"/>
      <w:numPr>
        <w:ilvl w:val="0"/>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8397A" w14:textId="77777777" w:rsidR="00F57AE7" w:rsidRPr="004D36E7" w:rsidRDefault="00F57AE7" w:rsidP="004D36E7">
    <w:pPr>
      <w:pStyle w:val="Header"/>
      <w:numPr>
        <w:ilvl w:val="0"/>
        <w:numId w:val="0"/>
      </w:numPr>
      <w:ind w:left="720" w:hanging="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4CE0E3A"/>
    <w:multiLevelType w:val="hybridMultilevel"/>
    <w:tmpl w:val="FD58E3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2077A0"/>
    <w:multiLevelType w:val="hybridMultilevel"/>
    <w:tmpl w:val="336AE4FE"/>
    <w:lvl w:ilvl="0" w:tplc="F8FCA63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EDD6DA4"/>
    <w:multiLevelType w:val="hybridMultilevel"/>
    <w:tmpl w:val="5D0E5BF4"/>
    <w:lvl w:ilvl="0" w:tplc="BC58FA5E">
      <w:start w:val="1"/>
      <w:numFmt w:val="decimal"/>
      <w:pStyle w:val="Considrant"/>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255C0B"/>
    <w:multiLevelType w:val="hybridMultilevel"/>
    <w:tmpl w:val="CBBA47F0"/>
    <w:lvl w:ilvl="0" w:tplc="2CCAC20A">
      <w:start w:val="1"/>
      <w:numFmt w:val="bullet"/>
      <w:pStyle w:val="ListBullet2"/>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AA74064"/>
    <w:multiLevelType w:val="hybridMultilevel"/>
    <w:tmpl w:val="AE30EDA6"/>
    <w:lvl w:ilvl="0" w:tplc="08090019">
      <w:start w:val="1"/>
      <w:numFmt w:val="lowerLetter"/>
      <w:lvlText w:val="%1."/>
      <w:lvlJc w:val="left"/>
      <w:pPr>
        <w:ind w:left="1080" w:hanging="360"/>
      </w:pPr>
    </w:lvl>
    <w:lvl w:ilvl="1" w:tplc="04050019">
      <w:start w:val="1"/>
      <w:numFmt w:val="lowerLetter"/>
      <w:lvlText w:val="%2."/>
      <w:lvlJc w:val="left"/>
      <w:pPr>
        <w:ind w:left="1800" w:hanging="360"/>
      </w:pPr>
    </w:lvl>
    <w:lvl w:ilvl="2" w:tplc="5A504CC2">
      <w:numFmt w:val="bullet"/>
      <w:lvlText w:val="-"/>
      <w:lvlJc w:val="left"/>
      <w:pPr>
        <w:ind w:left="2700" w:hanging="360"/>
      </w:pPr>
      <w:rPr>
        <w:rFonts w:ascii="Times New Roman" w:eastAsia="Times New Roman" w:hAnsi="Times New Roman" w:cs="Times New Roman" w:hint="default"/>
      </w:r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nsid w:val="2C1D09B7"/>
    <w:multiLevelType w:val="hybridMultilevel"/>
    <w:tmpl w:val="472CB418"/>
    <w:lvl w:ilvl="0" w:tplc="D5CC9BD2">
      <w:start w:val="1"/>
      <w:numFmt w:val="decimal"/>
      <w:pStyle w:val="Header"/>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6">
    <w:nsid w:val="4A044D95"/>
    <w:multiLevelType w:val="hybridMultilevel"/>
    <w:tmpl w:val="465CAA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CA64631"/>
    <w:multiLevelType w:val="hybridMultilevel"/>
    <w:tmpl w:val="14D22DD0"/>
    <w:lvl w:ilvl="0" w:tplc="C8E463D4">
      <w:start w:val="1"/>
      <w:numFmt w:val="decimal"/>
      <w:pStyle w:val="NumberList"/>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45620F3"/>
    <w:multiLevelType w:val="hybridMultilevel"/>
    <w:tmpl w:val="89D8B604"/>
    <w:lvl w:ilvl="0" w:tplc="0809000F">
      <w:start w:val="1"/>
      <w:numFmt w:val="decimal"/>
      <w:lvlText w:val="%1."/>
      <w:lvlJc w:val="left"/>
      <w:pPr>
        <w:ind w:left="717" w:hanging="360"/>
      </w:p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1C92367"/>
    <w:multiLevelType w:val="hybridMultilevel"/>
    <w:tmpl w:val="C6FA1876"/>
    <w:lvl w:ilvl="0" w:tplc="0813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A9750DA"/>
    <w:multiLevelType w:val="hybridMultilevel"/>
    <w:tmpl w:val="8A321B4A"/>
    <w:lvl w:ilvl="0" w:tplc="3B40885C">
      <w:start w:val="1"/>
      <w:numFmt w:val="decimal"/>
      <w:lvlText w:val="%1."/>
      <w:lvlJc w:val="left"/>
      <w:pPr>
        <w:ind w:left="360" w:hanging="360"/>
      </w:pPr>
      <w:rPr>
        <w:rFonts w:ascii="Times New Roman" w:hAnsi="Times New Roman" w:cs="Times New Roman" w:hint="default"/>
        <w:b w:val="0"/>
        <w:i w:val="0"/>
        <w:strike w:val="0"/>
        <w:dstrike w:val="0"/>
        <w:sz w:val="22"/>
        <w:szCs w:val="22"/>
        <w:u w:val="none"/>
        <w:effect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0"/>
  </w:num>
  <w:num w:numId="3">
    <w:abstractNumId w:val="8"/>
  </w:num>
  <w:num w:numId="4">
    <w:abstractNumId w:val="14"/>
  </w:num>
  <w:num w:numId="5">
    <w:abstractNumId w:val="9"/>
  </w:num>
  <w:num w:numId="6">
    <w:abstractNumId w:val="23"/>
  </w:num>
  <w:num w:numId="7">
    <w:abstractNumId w:val="24"/>
  </w:num>
  <w:num w:numId="8">
    <w:abstractNumId w:val="12"/>
  </w:num>
  <w:num w:numId="9">
    <w:abstractNumId w:val="21"/>
  </w:num>
  <w:num w:numId="10">
    <w:abstractNumId w:val="20"/>
  </w:num>
  <w:num w:numId="11">
    <w:abstractNumId w:val="15"/>
  </w:num>
  <w:num w:numId="12">
    <w:abstractNumId w:val="19"/>
  </w:num>
  <w:num w:numId="13">
    <w:abstractNumId w:val="13"/>
  </w:num>
  <w:num w:numId="14">
    <w:abstractNumId w:val="7"/>
  </w:num>
  <w:num w:numId="15">
    <w:abstractNumId w:val="11"/>
  </w:num>
  <w:num w:numId="16">
    <w:abstractNumId w:val="25"/>
  </w:num>
  <w:num w:numId="17">
    <w:abstractNumId w:val="4"/>
  </w:num>
  <w:num w:numId="18">
    <w:abstractNumId w:val="5"/>
  </w:num>
  <w:num w:numId="19">
    <w:abstractNumId w:val="17"/>
  </w:num>
  <w:num w:numId="20">
    <w:abstractNumId w:val="3"/>
  </w:num>
  <w:num w:numId="21">
    <w:abstractNumId w:val="22"/>
  </w:num>
  <w:num w:numId="22">
    <w:abstractNumId w:val="2"/>
  </w:num>
  <w:num w:numId="23">
    <w:abstractNumId w:val="10"/>
  </w:num>
  <w:num w:numId="24">
    <w:abstractNumId w:val="16"/>
  </w:num>
  <w:num w:numId="25">
    <w:abstractNumId w:val="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HAN Nicholas (SJ)">
    <w15:presenceInfo w15:providerId="None" w15:userId="KHAN Nicholas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692EF5"/>
    <w:rsid w:val="00003F0E"/>
    <w:rsid w:val="00005D7D"/>
    <w:rsid w:val="00010D12"/>
    <w:rsid w:val="000113B4"/>
    <w:rsid w:val="00013EE5"/>
    <w:rsid w:val="00014FB3"/>
    <w:rsid w:val="000155D8"/>
    <w:rsid w:val="00015844"/>
    <w:rsid w:val="00017EF2"/>
    <w:rsid w:val="00032CAE"/>
    <w:rsid w:val="0003781A"/>
    <w:rsid w:val="00040721"/>
    <w:rsid w:val="0004591D"/>
    <w:rsid w:val="00046210"/>
    <w:rsid w:val="00052858"/>
    <w:rsid w:val="00055915"/>
    <w:rsid w:val="00057B18"/>
    <w:rsid w:val="00061C10"/>
    <w:rsid w:val="000634D3"/>
    <w:rsid w:val="00065172"/>
    <w:rsid w:val="0007104A"/>
    <w:rsid w:val="00072F0E"/>
    <w:rsid w:val="00074A91"/>
    <w:rsid w:val="00086312"/>
    <w:rsid w:val="000865C4"/>
    <w:rsid w:val="00087FCC"/>
    <w:rsid w:val="00092487"/>
    <w:rsid w:val="00092C5C"/>
    <w:rsid w:val="0009387F"/>
    <w:rsid w:val="000946DE"/>
    <w:rsid w:val="00095624"/>
    <w:rsid w:val="000A17B4"/>
    <w:rsid w:val="000A4E7B"/>
    <w:rsid w:val="000A5333"/>
    <w:rsid w:val="000B0791"/>
    <w:rsid w:val="000B30E2"/>
    <w:rsid w:val="000C3C2A"/>
    <w:rsid w:val="000C49B7"/>
    <w:rsid w:val="000C6D6A"/>
    <w:rsid w:val="000D0960"/>
    <w:rsid w:val="000D464F"/>
    <w:rsid w:val="000D4A02"/>
    <w:rsid w:val="000D5F62"/>
    <w:rsid w:val="000D719C"/>
    <w:rsid w:val="000E08C5"/>
    <w:rsid w:val="000E0B35"/>
    <w:rsid w:val="000E3853"/>
    <w:rsid w:val="000E3CEF"/>
    <w:rsid w:val="000E4AE8"/>
    <w:rsid w:val="000E711A"/>
    <w:rsid w:val="000F6BF1"/>
    <w:rsid w:val="00102A96"/>
    <w:rsid w:val="00102D55"/>
    <w:rsid w:val="001066B6"/>
    <w:rsid w:val="00112039"/>
    <w:rsid w:val="0011570D"/>
    <w:rsid w:val="00130DA7"/>
    <w:rsid w:val="00131EC7"/>
    <w:rsid w:val="00132E0D"/>
    <w:rsid w:val="001419DD"/>
    <w:rsid w:val="001438E2"/>
    <w:rsid w:val="00154144"/>
    <w:rsid w:val="0015698E"/>
    <w:rsid w:val="00161731"/>
    <w:rsid w:val="00166130"/>
    <w:rsid w:val="00166878"/>
    <w:rsid w:val="00166D0F"/>
    <w:rsid w:val="00170624"/>
    <w:rsid w:val="00171ABD"/>
    <w:rsid w:val="00175A8B"/>
    <w:rsid w:val="001765D7"/>
    <w:rsid w:val="001774CA"/>
    <w:rsid w:val="0018365D"/>
    <w:rsid w:val="001839F5"/>
    <w:rsid w:val="00184833"/>
    <w:rsid w:val="00184CEC"/>
    <w:rsid w:val="00185EF4"/>
    <w:rsid w:val="001923AB"/>
    <w:rsid w:val="001A012F"/>
    <w:rsid w:val="001A4B4B"/>
    <w:rsid w:val="001A5CAD"/>
    <w:rsid w:val="001A65DE"/>
    <w:rsid w:val="001B0B22"/>
    <w:rsid w:val="001B40C4"/>
    <w:rsid w:val="001B5BD9"/>
    <w:rsid w:val="001B6A90"/>
    <w:rsid w:val="001C33E9"/>
    <w:rsid w:val="001C4547"/>
    <w:rsid w:val="001C45F5"/>
    <w:rsid w:val="001C4661"/>
    <w:rsid w:val="001C54D6"/>
    <w:rsid w:val="001C781E"/>
    <w:rsid w:val="001D067B"/>
    <w:rsid w:val="001D1219"/>
    <w:rsid w:val="001D2495"/>
    <w:rsid w:val="001D491F"/>
    <w:rsid w:val="001D6414"/>
    <w:rsid w:val="001D65A6"/>
    <w:rsid w:val="001E4670"/>
    <w:rsid w:val="001E5F1D"/>
    <w:rsid w:val="001E65B0"/>
    <w:rsid w:val="001E65F5"/>
    <w:rsid w:val="001F5713"/>
    <w:rsid w:val="001F68E5"/>
    <w:rsid w:val="001F7DCE"/>
    <w:rsid w:val="00210A59"/>
    <w:rsid w:val="00214856"/>
    <w:rsid w:val="00215FB2"/>
    <w:rsid w:val="00216AC0"/>
    <w:rsid w:val="00216DF4"/>
    <w:rsid w:val="00217848"/>
    <w:rsid w:val="00231E63"/>
    <w:rsid w:val="00235C9A"/>
    <w:rsid w:val="00236158"/>
    <w:rsid w:val="00237DFF"/>
    <w:rsid w:val="002406C3"/>
    <w:rsid w:val="0024396E"/>
    <w:rsid w:val="00252B25"/>
    <w:rsid w:val="00253174"/>
    <w:rsid w:val="0025330A"/>
    <w:rsid w:val="00253560"/>
    <w:rsid w:val="002535D1"/>
    <w:rsid w:val="00253F4E"/>
    <w:rsid w:val="002544D0"/>
    <w:rsid w:val="00262B65"/>
    <w:rsid w:val="00262E9F"/>
    <w:rsid w:val="002630C8"/>
    <w:rsid w:val="00264245"/>
    <w:rsid w:val="002644D2"/>
    <w:rsid w:val="002676A7"/>
    <w:rsid w:val="00270682"/>
    <w:rsid w:val="00270B84"/>
    <w:rsid w:val="00272AF4"/>
    <w:rsid w:val="0027409F"/>
    <w:rsid w:val="0027613E"/>
    <w:rsid w:val="0028190A"/>
    <w:rsid w:val="0028222C"/>
    <w:rsid w:val="00284D80"/>
    <w:rsid w:val="002951F3"/>
    <w:rsid w:val="002A0E5E"/>
    <w:rsid w:val="002A27B5"/>
    <w:rsid w:val="002A3EFD"/>
    <w:rsid w:val="002A6EE9"/>
    <w:rsid w:val="002B21A8"/>
    <w:rsid w:val="002B7980"/>
    <w:rsid w:val="002B7EC7"/>
    <w:rsid w:val="002C18BC"/>
    <w:rsid w:val="002C3356"/>
    <w:rsid w:val="002C4AB8"/>
    <w:rsid w:val="002C5F9D"/>
    <w:rsid w:val="002C7E10"/>
    <w:rsid w:val="002D0CBC"/>
    <w:rsid w:val="002D1090"/>
    <w:rsid w:val="002D6A6D"/>
    <w:rsid w:val="002D7BC0"/>
    <w:rsid w:val="002E4DE9"/>
    <w:rsid w:val="002E5A99"/>
    <w:rsid w:val="002E679D"/>
    <w:rsid w:val="002E793E"/>
    <w:rsid w:val="002F1AFD"/>
    <w:rsid w:val="002F22FA"/>
    <w:rsid w:val="002F6058"/>
    <w:rsid w:val="002F65CA"/>
    <w:rsid w:val="002F6D29"/>
    <w:rsid w:val="00301D87"/>
    <w:rsid w:val="00303953"/>
    <w:rsid w:val="00304B7E"/>
    <w:rsid w:val="00305C43"/>
    <w:rsid w:val="00310C37"/>
    <w:rsid w:val="003174CF"/>
    <w:rsid w:val="00334589"/>
    <w:rsid w:val="0033554D"/>
    <w:rsid w:val="0033749F"/>
    <w:rsid w:val="00340C5A"/>
    <w:rsid w:val="00340E4B"/>
    <w:rsid w:val="003411A3"/>
    <w:rsid w:val="003431D6"/>
    <w:rsid w:val="00346FAC"/>
    <w:rsid w:val="00347A24"/>
    <w:rsid w:val="003517E7"/>
    <w:rsid w:val="003533AB"/>
    <w:rsid w:val="00353492"/>
    <w:rsid w:val="00354BF1"/>
    <w:rsid w:val="003579F4"/>
    <w:rsid w:val="00357D71"/>
    <w:rsid w:val="00360F0D"/>
    <w:rsid w:val="003612DF"/>
    <w:rsid w:val="003649FF"/>
    <w:rsid w:val="00365B4F"/>
    <w:rsid w:val="00371C14"/>
    <w:rsid w:val="00373540"/>
    <w:rsid w:val="00377143"/>
    <w:rsid w:val="00383E42"/>
    <w:rsid w:val="0038542D"/>
    <w:rsid w:val="00387E31"/>
    <w:rsid w:val="0039286B"/>
    <w:rsid w:val="00392A21"/>
    <w:rsid w:val="00394064"/>
    <w:rsid w:val="00394637"/>
    <w:rsid w:val="00395AC1"/>
    <w:rsid w:val="003A1184"/>
    <w:rsid w:val="003A2ECF"/>
    <w:rsid w:val="003A3B80"/>
    <w:rsid w:val="003A3F52"/>
    <w:rsid w:val="003A726C"/>
    <w:rsid w:val="003B12E8"/>
    <w:rsid w:val="003B1BD1"/>
    <w:rsid w:val="003B3B34"/>
    <w:rsid w:val="003B72B5"/>
    <w:rsid w:val="003C00DE"/>
    <w:rsid w:val="003C4341"/>
    <w:rsid w:val="003C7226"/>
    <w:rsid w:val="003C7549"/>
    <w:rsid w:val="003C7841"/>
    <w:rsid w:val="003D1581"/>
    <w:rsid w:val="003D6A87"/>
    <w:rsid w:val="003D716A"/>
    <w:rsid w:val="003D7789"/>
    <w:rsid w:val="003E024F"/>
    <w:rsid w:val="003E1001"/>
    <w:rsid w:val="003E2CBA"/>
    <w:rsid w:val="003E6A6A"/>
    <w:rsid w:val="003F6047"/>
    <w:rsid w:val="003F6876"/>
    <w:rsid w:val="003F7857"/>
    <w:rsid w:val="00400F9A"/>
    <w:rsid w:val="00401D27"/>
    <w:rsid w:val="004029B9"/>
    <w:rsid w:val="0040472F"/>
    <w:rsid w:val="00413079"/>
    <w:rsid w:val="0041345D"/>
    <w:rsid w:val="004161D6"/>
    <w:rsid w:val="004174C3"/>
    <w:rsid w:val="00417AAC"/>
    <w:rsid w:val="0042095A"/>
    <w:rsid w:val="00420C9E"/>
    <w:rsid w:val="004303D5"/>
    <w:rsid w:val="00432D18"/>
    <w:rsid w:val="004366AE"/>
    <w:rsid w:val="004375D7"/>
    <w:rsid w:val="00442DF9"/>
    <w:rsid w:val="00444720"/>
    <w:rsid w:val="0044493E"/>
    <w:rsid w:val="00445120"/>
    <w:rsid w:val="0045350B"/>
    <w:rsid w:val="00456E9A"/>
    <w:rsid w:val="00461153"/>
    <w:rsid w:val="004665A7"/>
    <w:rsid w:val="00466925"/>
    <w:rsid w:val="0047173F"/>
    <w:rsid w:val="00474DDB"/>
    <w:rsid w:val="00474EDD"/>
    <w:rsid w:val="00495973"/>
    <w:rsid w:val="00495ED2"/>
    <w:rsid w:val="00497691"/>
    <w:rsid w:val="00497EA4"/>
    <w:rsid w:val="004A007E"/>
    <w:rsid w:val="004A171B"/>
    <w:rsid w:val="004A1A20"/>
    <w:rsid w:val="004A7121"/>
    <w:rsid w:val="004A7202"/>
    <w:rsid w:val="004A7ADB"/>
    <w:rsid w:val="004B0A45"/>
    <w:rsid w:val="004B1EF2"/>
    <w:rsid w:val="004B4DD4"/>
    <w:rsid w:val="004B5C61"/>
    <w:rsid w:val="004B7BC9"/>
    <w:rsid w:val="004C3815"/>
    <w:rsid w:val="004D257A"/>
    <w:rsid w:val="004D36E7"/>
    <w:rsid w:val="004D4189"/>
    <w:rsid w:val="004D65D5"/>
    <w:rsid w:val="004E0DC0"/>
    <w:rsid w:val="004E1314"/>
    <w:rsid w:val="004E28B7"/>
    <w:rsid w:val="004E2F89"/>
    <w:rsid w:val="004E4CEA"/>
    <w:rsid w:val="004E6C31"/>
    <w:rsid w:val="004F32B8"/>
    <w:rsid w:val="004F6579"/>
    <w:rsid w:val="00500E3B"/>
    <w:rsid w:val="00501978"/>
    <w:rsid w:val="00507C27"/>
    <w:rsid w:val="00510052"/>
    <w:rsid w:val="005107FB"/>
    <w:rsid w:val="005125DE"/>
    <w:rsid w:val="00512A47"/>
    <w:rsid w:val="00512B18"/>
    <w:rsid w:val="005149C4"/>
    <w:rsid w:val="00515415"/>
    <w:rsid w:val="00521142"/>
    <w:rsid w:val="0052576D"/>
    <w:rsid w:val="005266E8"/>
    <w:rsid w:val="00535378"/>
    <w:rsid w:val="0054048C"/>
    <w:rsid w:val="0054384A"/>
    <w:rsid w:val="0056043D"/>
    <w:rsid w:val="00560AC0"/>
    <w:rsid w:val="00561014"/>
    <w:rsid w:val="00564160"/>
    <w:rsid w:val="00564E9E"/>
    <w:rsid w:val="00565ECA"/>
    <w:rsid w:val="00566D7E"/>
    <w:rsid w:val="005719DA"/>
    <w:rsid w:val="00572E03"/>
    <w:rsid w:val="00582952"/>
    <w:rsid w:val="00585D83"/>
    <w:rsid w:val="00586E00"/>
    <w:rsid w:val="00590064"/>
    <w:rsid w:val="0059254D"/>
    <w:rsid w:val="00595A76"/>
    <w:rsid w:val="00597CEE"/>
    <w:rsid w:val="005A4278"/>
    <w:rsid w:val="005A5B3B"/>
    <w:rsid w:val="005A614A"/>
    <w:rsid w:val="005A65DE"/>
    <w:rsid w:val="005B2D1E"/>
    <w:rsid w:val="005B4112"/>
    <w:rsid w:val="005C783A"/>
    <w:rsid w:val="005D0312"/>
    <w:rsid w:val="005D7F34"/>
    <w:rsid w:val="005E41AF"/>
    <w:rsid w:val="005E42FB"/>
    <w:rsid w:val="005E4396"/>
    <w:rsid w:val="005E5CE1"/>
    <w:rsid w:val="005F029A"/>
    <w:rsid w:val="005F2324"/>
    <w:rsid w:val="005F4F5C"/>
    <w:rsid w:val="005F78A0"/>
    <w:rsid w:val="005F793D"/>
    <w:rsid w:val="00604D4F"/>
    <w:rsid w:val="00605B41"/>
    <w:rsid w:val="00607383"/>
    <w:rsid w:val="0060755B"/>
    <w:rsid w:val="0061142D"/>
    <w:rsid w:val="0061493C"/>
    <w:rsid w:val="00616B30"/>
    <w:rsid w:val="0062040C"/>
    <w:rsid w:val="006207E1"/>
    <w:rsid w:val="00623440"/>
    <w:rsid w:val="00623B2B"/>
    <w:rsid w:val="00640C05"/>
    <w:rsid w:val="0064775F"/>
    <w:rsid w:val="0065147C"/>
    <w:rsid w:val="006525C9"/>
    <w:rsid w:val="00652D96"/>
    <w:rsid w:val="00670C97"/>
    <w:rsid w:val="00670D68"/>
    <w:rsid w:val="006807B7"/>
    <w:rsid w:val="00680C97"/>
    <w:rsid w:val="00680D80"/>
    <w:rsid w:val="00683908"/>
    <w:rsid w:val="00684DE5"/>
    <w:rsid w:val="00690AD7"/>
    <w:rsid w:val="00692EF5"/>
    <w:rsid w:val="006A1658"/>
    <w:rsid w:val="006A3667"/>
    <w:rsid w:val="006A78E9"/>
    <w:rsid w:val="006A7C80"/>
    <w:rsid w:val="006B19D4"/>
    <w:rsid w:val="006B458B"/>
    <w:rsid w:val="006C1FB4"/>
    <w:rsid w:val="006C4797"/>
    <w:rsid w:val="006C7840"/>
    <w:rsid w:val="006D01CB"/>
    <w:rsid w:val="006D6EAB"/>
    <w:rsid w:val="006E20DF"/>
    <w:rsid w:val="006F025C"/>
    <w:rsid w:val="006F1B6B"/>
    <w:rsid w:val="006F24B1"/>
    <w:rsid w:val="006F49DF"/>
    <w:rsid w:val="006F5766"/>
    <w:rsid w:val="006F758D"/>
    <w:rsid w:val="00702411"/>
    <w:rsid w:val="00707B8F"/>
    <w:rsid w:val="00707CA7"/>
    <w:rsid w:val="00710E1A"/>
    <w:rsid w:val="00711D7B"/>
    <w:rsid w:val="00712480"/>
    <w:rsid w:val="00717EB0"/>
    <w:rsid w:val="00720B1E"/>
    <w:rsid w:val="0072188D"/>
    <w:rsid w:val="00721C8F"/>
    <w:rsid w:val="007223D4"/>
    <w:rsid w:val="00723397"/>
    <w:rsid w:val="00723498"/>
    <w:rsid w:val="00724B7D"/>
    <w:rsid w:val="00726323"/>
    <w:rsid w:val="00726438"/>
    <w:rsid w:val="00733133"/>
    <w:rsid w:val="0073744F"/>
    <w:rsid w:val="00737CE4"/>
    <w:rsid w:val="0074471B"/>
    <w:rsid w:val="00744D43"/>
    <w:rsid w:val="007457EF"/>
    <w:rsid w:val="00761077"/>
    <w:rsid w:val="0076149C"/>
    <w:rsid w:val="007629EE"/>
    <w:rsid w:val="00762B68"/>
    <w:rsid w:val="00763F18"/>
    <w:rsid w:val="0076595E"/>
    <w:rsid w:val="007725FB"/>
    <w:rsid w:val="00776EC0"/>
    <w:rsid w:val="00777ADC"/>
    <w:rsid w:val="00783624"/>
    <w:rsid w:val="007840A8"/>
    <w:rsid w:val="00785A6A"/>
    <w:rsid w:val="007875BA"/>
    <w:rsid w:val="007901C6"/>
    <w:rsid w:val="007966DA"/>
    <w:rsid w:val="007A08FD"/>
    <w:rsid w:val="007A5870"/>
    <w:rsid w:val="007B7618"/>
    <w:rsid w:val="007C1B0F"/>
    <w:rsid w:val="007C2B2B"/>
    <w:rsid w:val="007C42D3"/>
    <w:rsid w:val="007C5CD8"/>
    <w:rsid w:val="007C67D4"/>
    <w:rsid w:val="007D057F"/>
    <w:rsid w:val="007D25DA"/>
    <w:rsid w:val="007D3F23"/>
    <w:rsid w:val="007D48A3"/>
    <w:rsid w:val="007D55DC"/>
    <w:rsid w:val="007E00F2"/>
    <w:rsid w:val="007E59C5"/>
    <w:rsid w:val="007F25EB"/>
    <w:rsid w:val="007F2705"/>
    <w:rsid w:val="007F4970"/>
    <w:rsid w:val="00802C95"/>
    <w:rsid w:val="00804B59"/>
    <w:rsid w:val="00805317"/>
    <w:rsid w:val="00805C0A"/>
    <w:rsid w:val="00805FBF"/>
    <w:rsid w:val="00806925"/>
    <w:rsid w:val="008070E5"/>
    <w:rsid w:val="0080786D"/>
    <w:rsid w:val="00811E3D"/>
    <w:rsid w:val="00815E6F"/>
    <w:rsid w:val="008161FE"/>
    <w:rsid w:val="0082175D"/>
    <w:rsid w:val="0082244E"/>
    <w:rsid w:val="008226EC"/>
    <w:rsid w:val="00822D38"/>
    <w:rsid w:val="00825206"/>
    <w:rsid w:val="008275F6"/>
    <w:rsid w:val="00832044"/>
    <w:rsid w:val="008331BB"/>
    <w:rsid w:val="008343E3"/>
    <w:rsid w:val="00834472"/>
    <w:rsid w:val="008366BA"/>
    <w:rsid w:val="00836BC4"/>
    <w:rsid w:val="00841AF4"/>
    <w:rsid w:val="00842836"/>
    <w:rsid w:val="0084433A"/>
    <w:rsid w:val="0084462F"/>
    <w:rsid w:val="0085218F"/>
    <w:rsid w:val="00862DF7"/>
    <w:rsid w:val="00863872"/>
    <w:rsid w:val="0086753D"/>
    <w:rsid w:val="00870217"/>
    <w:rsid w:val="00871A45"/>
    <w:rsid w:val="00871DED"/>
    <w:rsid w:val="00872EA2"/>
    <w:rsid w:val="00873725"/>
    <w:rsid w:val="00876664"/>
    <w:rsid w:val="00883F3D"/>
    <w:rsid w:val="008863DB"/>
    <w:rsid w:val="008875BF"/>
    <w:rsid w:val="0089009B"/>
    <w:rsid w:val="0089063D"/>
    <w:rsid w:val="00892ACE"/>
    <w:rsid w:val="008962A7"/>
    <w:rsid w:val="008A0D84"/>
    <w:rsid w:val="008A22AC"/>
    <w:rsid w:val="008A26F6"/>
    <w:rsid w:val="008A4E04"/>
    <w:rsid w:val="008A7BE3"/>
    <w:rsid w:val="008B369D"/>
    <w:rsid w:val="008B6047"/>
    <w:rsid w:val="008B6EAD"/>
    <w:rsid w:val="008C0C01"/>
    <w:rsid w:val="008C1AEB"/>
    <w:rsid w:val="008C53FA"/>
    <w:rsid w:val="008C54B9"/>
    <w:rsid w:val="008C7D0A"/>
    <w:rsid w:val="008D04C4"/>
    <w:rsid w:val="008D0C60"/>
    <w:rsid w:val="008D6938"/>
    <w:rsid w:val="008E46D8"/>
    <w:rsid w:val="008E515E"/>
    <w:rsid w:val="008E59FC"/>
    <w:rsid w:val="008E5A81"/>
    <w:rsid w:val="008E7DD4"/>
    <w:rsid w:val="008F097D"/>
    <w:rsid w:val="008F2487"/>
    <w:rsid w:val="008F2C0B"/>
    <w:rsid w:val="00900B52"/>
    <w:rsid w:val="00903835"/>
    <w:rsid w:val="009044C5"/>
    <w:rsid w:val="00904F59"/>
    <w:rsid w:val="00910054"/>
    <w:rsid w:val="00912523"/>
    <w:rsid w:val="00912EA7"/>
    <w:rsid w:val="00933E36"/>
    <w:rsid w:val="0093529F"/>
    <w:rsid w:val="00936155"/>
    <w:rsid w:val="009379E6"/>
    <w:rsid w:val="0094073C"/>
    <w:rsid w:val="00942BA2"/>
    <w:rsid w:val="00945644"/>
    <w:rsid w:val="00950950"/>
    <w:rsid w:val="00950A11"/>
    <w:rsid w:val="009526D9"/>
    <w:rsid w:val="0096308C"/>
    <w:rsid w:val="00963FEC"/>
    <w:rsid w:val="00971983"/>
    <w:rsid w:val="00971BC3"/>
    <w:rsid w:val="0097294D"/>
    <w:rsid w:val="00972CDC"/>
    <w:rsid w:val="00973804"/>
    <w:rsid w:val="00973DFA"/>
    <w:rsid w:val="00983EEA"/>
    <w:rsid w:val="00985967"/>
    <w:rsid w:val="00987109"/>
    <w:rsid w:val="00990576"/>
    <w:rsid w:val="0099186A"/>
    <w:rsid w:val="00996EEE"/>
    <w:rsid w:val="009A0F9E"/>
    <w:rsid w:val="009A400B"/>
    <w:rsid w:val="009A4989"/>
    <w:rsid w:val="009A729E"/>
    <w:rsid w:val="009B1EA6"/>
    <w:rsid w:val="009B1F09"/>
    <w:rsid w:val="009B6075"/>
    <w:rsid w:val="009C0DE0"/>
    <w:rsid w:val="009C1DC9"/>
    <w:rsid w:val="009C5D25"/>
    <w:rsid w:val="009C6250"/>
    <w:rsid w:val="009D0E88"/>
    <w:rsid w:val="009D3158"/>
    <w:rsid w:val="009D6F5E"/>
    <w:rsid w:val="009E37C2"/>
    <w:rsid w:val="009E6D9B"/>
    <w:rsid w:val="009F0269"/>
    <w:rsid w:val="009F1E91"/>
    <w:rsid w:val="009F3FBF"/>
    <w:rsid w:val="009F6328"/>
    <w:rsid w:val="009F6805"/>
    <w:rsid w:val="009F69BD"/>
    <w:rsid w:val="00A0111F"/>
    <w:rsid w:val="00A01522"/>
    <w:rsid w:val="00A02343"/>
    <w:rsid w:val="00A03201"/>
    <w:rsid w:val="00A06614"/>
    <w:rsid w:val="00A07954"/>
    <w:rsid w:val="00A07BE9"/>
    <w:rsid w:val="00A151B3"/>
    <w:rsid w:val="00A23C7A"/>
    <w:rsid w:val="00A25BD4"/>
    <w:rsid w:val="00A30CA1"/>
    <w:rsid w:val="00A30E2E"/>
    <w:rsid w:val="00A31201"/>
    <w:rsid w:val="00A31ACF"/>
    <w:rsid w:val="00A34EF2"/>
    <w:rsid w:val="00A41037"/>
    <w:rsid w:val="00A4208C"/>
    <w:rsid w:val="00A44C15"/>
    <w:rsid w:val="00A45D7E"/>
    <w:rsid w:val="00A46163"/>
    <w:rsid w:val="00A47115"/>
    <w:rsid w:val="00A501B5"/>
    <w:rsid w:val="00A54ECE"/>
    <w:rsid w:val="00A55AB8"/>
    <w:rsid w:val="00A55F1D"/>
    <w:rsid w:val="00A561A7"/>
    <w:rsid w:val="00A56680"/>
    <w:rsid w:val="00A577F0"/>
    <w:rsid w:val="00A631E9"/>
    <w:rsid w:val="00A7076D"/>
    <w:rsid w:val="00A72A92"/>
    <w:rsid w:val="00A74C3B"/>
    <w:rsid w:val="00A80BB5"/>
    <w:rsid w:val="00A854C8"/>
    <w:rsid w:val="00A878BB"/>
    <w:rsid w:val="00A922FE"/>
    <w:rsid w:val="00A93AB2"/>
    <w:rsid w:val="00A960BA"/>
    <w:rsid w:val="00A961B6"/>
    <w:rsid w:val="00A973AB"/>
    <w:rsid w:val="00A978BC"/>
    <w:rsid w:val="00AA3052"/>
    <w:rsid w:val="00AA6F66"/>
    <w:rsid w:val="00AB20E4"/>
    <w:rsid w:val="00AB2212"/>
    <w:rsid w:val="00AB35F2"/>
    <w:rsid w:val="00AB4FE0"/>
    <w:rsid w:val="00AC200E"/>
    <w:rsid w:val="00AC5BC3"/>
    <w:rsid w:val="00AC6CB7"/>
    <w:rsid w:val="00AD793E"/>
    <w:rsid w:val="00AE095F"/>
    <w:rsid w:val="00AF048E"/>
    <w:rsid w:val="00AF0FD7"/>
    <w:rsid w:val="00AF2793"/>
    <w:rsid w:val="00AF2BAE"/>
    <w:rsid w:val="00AF6133"/>
    <w:rsid w:val="00AF6448"/>
    <w:rsid w:val="00AF6511"/>
    <w:rsid w:val="00AF6B6E"/>
    <w:rsid w:val="00B1105E"/>
    <w:rsid w:val="00B13BE0"/>
    <w:rsid w:val="00B15C20"/>
    <w:rsid w:val="00B17681"/>
    <w:rsid w:val="00B1776F"/>
    <w:rsid w:val="00B17F5F"/>
    <w:rsid w:val="00B22E8F"/>
    <w:rsid w:val="00B23A74"/>
    <w:rsid w:val="00B23F08"/>
    <w:rsid w:val="00B246F5"/>
    <w:rsid w:val="00B24B85"/>
    <w:rsid w:val="00B27811"/>
    <w:rsid w:val="00B441C7"/>
    <w:rsid w:val="00B52599"/>
    <w:rsid w:val="00B54055"/>
    <w:rsid w:val="00B542D4"/>
    <w:rsid w:val="00B56F42"/>
    <w:rsid w:val="00B57309"/>
    <w:rsid w:val="00B6457D"/>
    <w:rsid w:val="00B6555A"/>
    <w:rsid w:val="00B66125"/>
    <w:rsid w:val="00B664D1"/>
    <w:rsid w:val="00B66E32"/>
    <w:rsid w:val="00B70238"/>
    <w:rsid w:val="00B703F0"/>
    <w:rsid w:val="00B71C09"/>
    <w:rsid w:val="00B72A8F"/>
    <w:rsid w:val="00B72E62"/>
    <w:rsid w:val="00B82839"/>
    <w:rsid w:val="00B83551"/>
    <w:rsid w:val="00B8685D"/>
    <w:rsid w:val="00B90A69"/>
    <w:rsid w:val="00B90D6A"/>
    <w:rsid w:val="00B96BC3"/>
    <w:rsid w:val="00BA2CA2"/>
    <w:rsid w:val="00BA2F55"/>
    <w:rsid w:val="00BA3BA4"/>
    <w:rsid w:val="00BA7256"/>
    <w:rsid w:val="00BB09A3"/>
    <w:rsid w:val="00BB0C66"/>
    <w:rsid w:val="00BB1274"/>
    <w:rsid w:val="00BB29CD"/>
    <w:rsid w:val="00BB4F3A"/>
    <w:rsid w:val="00BB7462"/>
    <w:rsid w:val="00BB7FD8"/>
    <w:rsid w:val="00BD05C4"/>
    <w:rsid w:val="00BD16C8"/>
    <w:rsid w:val="00BD265C"/>
    <w:rsid w:val="00BD4404"/>
    <w:rsid w:val="00BD6737"/>
    <w:rsid w:val="00BD6A59"/>
    <w:rsid w:val="00BD7F26"/>
    <w:rsid w:val="00BD7FFA"/>
    <w:rsid w:val="00BE098C"/>
    <w:rsid w:val="00BE5A5B"/>
    <w:rsid w:val="00BE7557"/>
    <w:rsid w:val="00BE7D02"/>
    <w:rsid w:val="00BF0079"/>
    <w:rsid w:val="00BF1B74"/>
    <w:rsid w:val="00BF3739"/>
    <w:rsid w:val="00BF3A40"/>
    <w:rsid w:val="00C03184"/>
    <w:rsid w:val="00C038CF"/>
    <w:rsid w:val="00C05549"/>
    <w:rsid w:val="00C06F9D"/>
    <w:rsid w:val="00C076F2"/>
    <w:rsid w:val="00C11AED"/>
    <w:rsid w:val="00C125D0"/>
    <w:rsid w:val="00C14902"/>
    <w:rsid w:val="00C20216"/>
    <w:rsid w:val="00C227E6"/>
    <w:rsid w:val="00C23508"/>
    <w:rsid w:val="00C24501"/>
    <w:rsid w:val="00C24599"/>
    <w:rsid w:val="00C25EB4"/>
    <w:rsid w:val="00C31223"/>
    <w:rsid w:val="00C33B84"/>
    <w:rsid w:val="00C4019C"/>
    <w:rsid w:val="00C42031"/>
    <w:rsid w:val="00C447BE"/>
    <w:rsid w:val="00C45797"/>
    <w:rsid w:val="00C51D63"/>
    <w:rsid w:val="00C6485B"/>
    <w:rsid w:val="00C66B3E"/>
    <w:rsid w:val="00C677BE"/>
    <w:rsid w:val="00C7071A"/>
    <w:rsid w:val="00C716DA"/>
    <w:rsid w:val="00C724DC"/>
    <w:rsid w:val="00C749ED"/>
    <w:rsid w:val="00C8154F"/>
    <w:rsid w:val="00C81E6B"/>
    <w:rsid w:val="00C91394"/>
    <w:rsid w:val="00C9215E"/>
    <w:rsid w:val="00C9259E"/>
    <w:rsid w:val="00C926BB"/>
    <w:rsid w:val="00C92F79"/>
    <w:rsid w:val="00C94C81"/>
    <w:rsid w:val="00CA6051"/>
    <w:rsid w:val="00CB10FD"/>
    <w:rsid w:val="00CB1E29"/>
    <w:rsid w:val="00CB277D"/>
    <w:rsid w:val="00CB4065"/>
    <w:rsid w:val="00CB4BA0"/>
    <w:rsid w:val="00CC58A5"/>
    <w:rsid w:val="00CC7957"/>
    <w:rsid w:val="00CD41A4"/>
    <w:rsid w:val="00CD4665"/>
    <w:rsid w:val="00CD46FF"/>
    <w:rsid w:val="00CE262E"/>
    <w:rsid w:val="00CE2DBF"/>
    <w:rsid w:val="00CE72F2"/>
    <w:rsid w:val="00CF1934"/>
    <w:rsid w:val="00CF74C4"/>
    <w:rsid w:val="00CF7C37"/>
    <w:rsid w:val="00D01CB0"/>
    <w:rsid w:val="00D038B1"/>
    <w:rsid w:val="00D04865"/>
    <w:rsid w:val="00D210E3"/>
    <w:rsid w:val="00D226D9"/>
    <w:rsid w:val="00D23072"/>
    <w:rsid w:val="00D26CEE"/>
    <w:rsid w:val="00D315EB"/>
    <w:rsid w:val="00D32F6C"/>
    <w:rsid w:val="00D34469"/>
    <w:rsid w:val="00D37344"/>
    <w:rsid w:val="00D405F0"/>
    <w:rsid w:val="00D44E8F"/>
    <w:rsid w:val="00D46984"/>
    <w:rsid w:val="00D46A38"/>
    <w:rsid w:val="00D547C2"/>
    <w:rsid w:val="00D57A48"/>
    <w:rsid w:val="00D62D0C"/>
    <w:rsid w:val="00D6412D"/>
    <w:rsid w:val="00D64BFB"/>
    <w:rsid w:val="00D65D62"/>
    <w:rsid w:val="00D71B2A"/>
    <w:rsid w:val="00D721F2"/>
    <w:rsid w:val="00D731D1"/>
    <w:rsid w:val="00D744F4"/>
    <w:rsid w:val="00D84583"/>
    <w:rsid w:val="00D8463E"/>
    <w:rsid w:val="00D85A97"/>
    <w:rsid w:val="00D861F3"/>
    <w:rsid w:val="00D90FC8"/>
    <w:rsid w:val="00D9100D"/>
    <w:rsid w:val="00D93AD9"/>
    <w:rsid w:val="00D940DA"/>
    <w:rsid w:val="00D94AC5"/>
    <w:rsid w:val="00D966C7"/>
    <w:rsid w:val="00D97E1F"/>
    <w:rsid w:val="00DA1C9E"/>
    <w:rsid w:val="00DA2B90"/>
    <w:rsid w:val="00DA30F8"/>
    <w:rsid w:val="00DA4907"/>
    <w:rsid w:val="00DA550F"/>
    <w:rsid w:val="00DB1CF0"/>
    <w:rsid w:val="00DC0FE6"/>
    <w:rsid w:val="00DD0D81"/>
    <w:rsid w:val="00DD47F1"/>
    <w:rsid w:val="00DD496C"/>
    <w:rsid w:val="00DD6912"/>
    <w:rsid w:val="00DD6AA3"/>
    <w:rsid w:val="00DE00D6"/>
    <w:rsid w:val="00DF219E"/>
    <w:rsid w:val="00E026BA"/>
    <w:rsid w:val="00E03ED2"/>
    <w:rsid w:val="00E05CDA"/>
    <w:rsid w:val="00E101DF"/>
    <w:rsid w:val="00E1367E"/>
    <w:rsid w:val="00E1578F"/>
    <w:rsid w:val="00E16D02"/>
    <w:rsid w:val="00E21BD0"/>
    <w:rsid w:val="00E235E1"/>
    <w:rsid w:val="00E36D53"/>
    <w:rsid w:val="00E42916"/>
    <w:rsid w:val="00E5374F"/>
    <w:rsid w:val="00E54157"/>
    <w:rsid w:val="00E61E53"/>
    <w:rsid w:val="00E66C3E"/>
    <w:rsid w:val="00E75AE0"/>
    <w:rsid w:val="00E806D2"/>
    <w:rsid w:val="00E80D1B"/>
    <w:rsid w:val="00E854F8"/>
    <w:rsid w:val="00E86130"/>
    <w:rsid w:val="00E87663"/>
    <w:rsid w:val="00E926CE"/>
    <w:rsid w:val="00E92B82"/>
    <w:rsid w:val="00E95021"/>
    <w:rsid w:val="00E97822"/>
    <w:rsid w:val="00EA3F22"/>
    <w:rsid w:val="00EA5275"/>
    <w:rsid w:val="00EA6B6B"/>
    <w:rsid w:val="00EB0BE9"/>
    <w:rsid w:val="00EB5A6B"/>
    <w:rsid w:val="00EB623A"/>
    <w:rsid w:val="00EB6B06"/>
    <w:rsid w:val="00EC35BB"/>
    <w:rsid w:val="00EC751B"/>
    <w:rsid w:val="00ED29DE"/>
    <w:rsid w:val="00ED37DA"/>
    <w:rsid w:val="00ED4755"/>
    <w:rsid w:val="00EE4CA1"/>
    <w:rsid w:val="00EE78D1"/>
    <w:rsid w:val="00EE7BA6"/>
    <w:rsid w:val="00EF1009"/>
    <w:rsid w:val="00EF66C7"/>
    <w:rsid w:val="00F05E48"/>
    <w:rsid w:val="00F06841"/>
    <w:rsid w:val="00F17057"/>
    <w:rsid w:val="00F21A75"/>
    <w:rsid w:val="00F32248"/>
    <w:rsid w:val="00F32317"/>
    <w:rsid w:val="00F35E29"/>
    <w:rsid w:val="00F36E85"/>
    <w:rsid w:val="00F37978"/>
    <w:rsid w:val="00F37C95"/>
    <w:rsid w:val="00F40CF9"/>
    <w:rsid w:val="00F423C9"/>
    <w:rsid w:val="00F44836"/>
    <w:rsid w:val="00F4797B"/>
    <w:rsid w:val="00F5472F"/>
    <w:rsid w:val="00F55A2F"/>
    <w:rsid w:val="00F57AE7"/>
    <w:rsid w:val="00F61BAA"/>
    <w:rsid w:val="00F62783"/>
    <w:rsid w:val="00F64852"/>
    <w:rsid w:val="00F64D98"/>
    <w:rsid w:val="00F70027"/>
    <w:rsid w:val="00F842EB"/>
    <w:rsid w:val="00F86249"/>
    <w:rsid w:val="00F863D8"/>
    <w:rsid w:val="00F865E1"/>
    <w:rsid w:val="00F86C0D"/>
    <w:rsid w:val="00F87195"/>
    <w:rsid w:val="00F96DE1"/>
    <w:rsid w:val="00F9762F"/>
    <w:rsid w:val="00FA0440"/>
    <w:rsid w:val="00FA0B73"/>
    <w:rsid w:val="00FA4A5E"/>
    <w:rsid w:val="00FA7369"/>
    <w:rsid w:val="00FB0D75"/>
    <w:rsid w:val="00FB2F90"/>
    <w:rsid w:val="00FB39CD"/>
    <w:rsid w:val="00FB4BA5"/>
    <w:rsid w:val="00FB710D"/>
    <w:rsid w:val="00FC0E55"/>
    <w:rsid w:val="00FC47DA"/>
    <w:rsid w:val="00FD1C0B"/>
    <w:rsid w:val="00FD3C9A"/>
    <w:rsid w:val="00FE314D"/>
    <w:rsid w:val="00FE3906"/>
    <w:rsid w:val="00FE55C9"/>
    <w:rsid w:val="00FF1C37"/>
    <w:rsid w:val="00FF5702"/>
    <w:rsid w:val="00FF6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08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5" w:uiPriority="39"/>
    <w:lsdException w:name="annotation text" w:uiPriority="99"/>
    <w:lsdException w:name="header"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1,Footnote Text Char Char Char,Footnote Text Char Char"/>
    <w:basedOn w:val="Normal"/>
    <w:link w:val="FootnoteTextChar"/>
    <w:rsid w:val="00D85A97"/>
    <w:pPr>
      <w:spacing w:after="60"/>
      <w:ind w:left="357" w:hanging="357"/>
    </w:pPr>
    <w:rPr>
      <w:sz w:val="20"/>
    </w:rPr>
  </w:style>
  <w:style w:type="paragraph" w:styleId="Header">
    <w:name w:val="header"/>
    <w:basedOn w:val="Normal"/>
    <w:link w:val="HeaderChar"/>
    <w:uiPriority w:val="99"/>
    <w:pPr>
      <w:numPr>
        <w:numId w:val="23"/>
      </w:num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rsid w:val="008A4E04"/>
    <w:pPr>
      <w:numPr>
        <w:numId w:val="18"/>
      </w:numPr>
      <w:tabs>
        <w:tab w:val="clear" w:pos="2302"/>
      </w:tabs>
      <w:ind w:left="1134"/>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302"/>
      </w:tabs>
    </w:pPr>
  </w:style>
  <w:style w:type="paragraph" w:customStyle="1" w:styleId="ListDash3">
    <w:name w:val="List Dash 3"/>
    <w:basedOn w:val="Text3"/>
    <w:pPr>
      <w:numPr>
        <w:numId w:val="11"/>
      </w:numPr>
      <w:tabs>
        <w:tab w:val="clear" w:pos="2302"/>
      </w:tabs>
    </w:pPr>
  </w:style>
  <w:style w:type="paragraph" w:customStyle="1" w:styleId="ListDash4">
    <w:name w:val="List Dash 4"/>
    <w:basedOn w:val="Text4"/>
    <w:pPr>
      <w:numPr>
        <w:numId w:val="12"/>
      </w:numPr>
      <w:tabs>
        <w:tab w:val="clear" w:pos="2302"/>
      </w:tabs>
    </w:pPr>
  </w:style>
  <w:style w:type="paragraph" w:customStyle="1" w:styleId="ListNumberLevel2">
    <w:name w:val="List Number (Level 2)"/>
    <w:basedOn w:val="Normal"/>
  </w:style>
  <w:style w:type="paragraph" w:customStyle="1" w:styleId="ListNumberLevel3">
    <w:name w:val="List Number (Level 3)"/>
    <w:basedOn w:val="Normal"/>
  </w:style>
  <w:style w:type="paragraph" w:customStyle="1" w:styleId="ListNumberLevel4">
    <w:name w:val="List Number (Level 4)"/>
    <w:basedOn w:val="Normal"/>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customStyle="1" w:styleId="TOCHeading1">
    <w:name w:val="TOC Heading1"/>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692EF5"/>
    <w:rPr>
      <w:rFonts w:ascii="Arial" w:hAnsi="Arial"/>
      <w:sz w:val="16"/>
      <w:lang w:eastAsia="en-US"/>
    </w:rPr>
  </w:style>
  <w:style w:type="paragraph" w:customStyle="1" w:styleId="ZCom">
    <w:name w:val="Z_Com"/>
    <w:basedOn w:val="Normal"/>
    <w:next w:val="ZDGName"/>
    <w:uiPriority w:val="99"/>
    <w:rsid w:val="00692EF5"/>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692EF5"/>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692EF5"/>
    <w:rPr>
      <w:sz w:val="24"/>
      <w:lang w:eastAsia="en-US"/>
    </w:rPr>
  </w:style>
  <w:style w:type="character" w:customStyle="1" w:styleId="FootnoteTextChar">
    <w:name w:val="Footnote Text Char"/>
    <w:aliases w:val="Footnote Text Char1 Char,Footnote Text Char Char Char Char,Footnote Text Char Char Char1"/>
    <w:link w:val="FootnoteText"/>
    <w:rsid w:val="00D85A97"/>
    <w:rPr>
      <w:lang w:eastAsia="en-US"/>
    </w:rPr>
  </w:style>
  <w:style w:type="character" w:styleId="FootnoteReference">
    <w:name w:val="footnote reference"/>
    <w:aliases w:val="Footnote,Ref,de nota al pie,Footnote number,fr,Fußnotenzeichen3,Footnote Reference Number,o,Footnote Reference_LVL6,Footnote Reference_LVL61,Footnote Reference_LVL62,Footnote Reference_LVL63,Footnote Reference_LVL64,BVI fnr,SUPERS,Ch"/>
    <w:uiPriority w:val="99"/>
    <w:unhideWhenUsed/>
    <w:rsid w:val="00692EF5"/>
    <w:rPr>
      <w:vertAlign w:val="superscript"/>
    </w:rPr>
  </w:style>
  <w:style w:type="character" w:styleId="CommentReference">
    <w:name w:val="annotation reference"/>
    <w:uiPriority w:val="99"/>
    <w:semiHidden/>
    <w:unhideWhenUsed/>
    <w:rsid w:val="00692EF5"/>
    <w:rPr>
      <w:sz w:val="16"/>
      <w:szCs w:val="16"/>
    </w:rPr>
  </w:style>
  <w:style w:type="character" w:customStyle="1" w:styleId="CommentTextChar">
    <w:name w:val="Comment Text Char"/>
    <w:link w:val="CommentText"/>
    <w:uiPriority w:val="99"/>
    <w:semiHidden/>
    <w:rsid w:val="00692EF5"/>
    <w:rPr>
      <w:lang w:eastAsia="en-US"/>
    </w:rPr>
  </w:style>
  <w:style w:type="paragraph" w:styleId="BalloonText">
    <w:name w:val="Balloon Text"/>
    <w:basedOn w:val="Normal"/>
    <w:link w:val="BalloonTextChar"/>
    <w:uiPriority w:val="99"/>
    <w:semiHidden/>
    <w:unhideWhenUsed/>
    <w:rsid w:val="00692EF5"/>
    <w:pPr>
      <w:spacing w:after="0"/>
    </w:pPr>
    <w:rPr>
      <w:rFonts w:ascii="Tahoma" w:hAnsi="Tahoma" w:cs="Tahoma"/>
      <w:sz w:val="16"/>
      <w:szCs w:val="16"/>
    </w:rPr>
  </w:style>
  <w:style w:type="character" w:customStyle="1" w:styleId="BalloonTextChar">
    <w:name w:val="Balloon Text Char"/>
    <w:link w:val="BalloonText"/>
    <w:uiPriority w:val="99"/>
    <w:semiHidden/>
    <w:rsid w:val="00692EF5"/>
    <w:rPr>
      <w:rFonts w:ascii="Tahoma" w:hAnsi="Tahoma" w:cs="Tahoma"/>
      <w:sz w:val="16"/>
      <w:szCs w:val="16"/>
      <w:lang w:eastAsia="en-US"/>
    </w:rPr>
  </w:style>
  <w:style w:type="character" w:styleId="Hyperlink">
    <w:name w:val="Hyperlink"/>
    <w:unhideWhenUsed/>
    <w:rsid w:val="007D25DA"/>
    <w:rPr>
      <w:color w:val="0000FF"/>
      <w:u w:val="single"/>
    </w:rPr>
  </w:style>
  <w:style w:type="character" w:customStyle="1" w:styleId="super">
    <w:name w:val="super"/>
    <w:rsid w:val="004B4DD4"/>
    <w:rPr>
      <w:sz w:val="12"/>
      <w:szCs w:val="12"/>
    </w:rPr>
  </w:style>
  <w:style w:type="paragraph" w:customStyle="1" w:styleId="normal1">
    <w:name w:val="normal1"/>
    <w:basedOn w:val="Normal"/>
    <w:rsid w:val="004B4DD4"/>
    <w:pPr>
      <w:spacing w:before="192" w:after="192"/>
    </w:pPr>
    <w:rPr>
      <w:sz w:val="18"/>
      <w:szCs w:val="18"/>
      <w:lang w:eastAsia="en-GB"/>
    </w:rPr>
  </w:style>
  <w:style w:type="character" w:customStyle="1" w:styleId="italic1">
    <w:name w:val="italic1"/>
    <w:rsid w:val="00EA5275"/>
    <w:rPr>
      <w:i/>
      <w:iCs/>
    </w:rPr>
  </w:style>
  <w:style w:type="paragraph" w:customStyle="1" w:styleId="MediumGrid1-Accent21">
    <w:name w:val="Medium Grid 1 - Accent 21"/>
    <w:basedOn w:val="Normal"/>
    <w:uiPriority w:val="34"/>
    <w:qFormat/>
    <w:rsid w:val="00983EEA"/>
    <w:pPr>
      <w:spacing w:after="0"/>
      <w:ind w:left="720"/>
      <w:contextualSpacing/>
      <w:jc w:val="left"/>
    </w:pPr>
    <w:rPr>
      <w:szCs w:val="24"/>
    </w:rPr>
  </w:style>
  <w:style w:type="paragraph" w:customStyle="1" w:styleId="Considrant">
    <w:name w:val="Considérant"/>
    <w:basedOn w:val="Normal"/>
    <w:rsid w:val="00262B65"/>
    <w:pPr>
      <w:numPr>
        <w:numId w:val="17"/>
      </w:numPr>
      <w:spacing w:after="0"/>
      <w:jc w:val="left"/>
    </w:pPr>
    <w:rPr>
      <w:szCs w:val="24"/>
    </w:rPr>
  </w:style>
  <w:style w:type="paragraph" w:customStyle="1" w:styleId="MediumList2-Accent21">
    <w:name w:val="Medium List 2 - Accent 21"/>
    <w:hidden/>
    <w:uiPriority w:val="71"/>
    <w:rsid w:val="003C7226"/>
    <w:rPr>
      <w:sz w:val="24"/>
      <w:lang w:eastAsia="en-US"/>
    </w:rPr>
  </w:style>
  <w:style w:type="paragraph" w:styleId="CommentSubject">
    <w:name w:val="annotation subject"/>
    <w:basedOn w:val="CommentText"/>
    <w:next w:val="CommentText"/>
    <w:link w:val="CommentSubjectChar"/>
    <w:uiPriority w:val="99"/>
    <w:semiHidden/>
    <w:unhideWhenUsed/>
    <w:rsid w:val="00990576"/>
    <w:rPr>
      <w:b/>
      <w:bCs/>
    </w:rPr>
  </w:style>
  <w:style w:type="character" w:customStyle="1" w:styleId="CommentSubjectChar">
    <w:name w:val="Comment Subject Char"/>
    <w:link w:val="CommentSubject"/>
    <w:uiPriority w:val="99"/>
    <w:semiHidden/>
    <w:rsid w:val="00990576"/>
    <w:rPr>
      <w:b/>
      <w:bCs/>
      <w:lang w:eastAsia="en-US"/>
    </w:rPr>
  </w:style>
  <w:style w:type="paragraph" w:customStyle="1" w:styleId="ColorfulShading-Accent11">
    <w:name w:val="Colorful Shading - Accent 11"/>
    <w:hidden/>
    <w:uiPriority w:val="99"/>
    <w:semiHidden/>
    <w:rsid w:val="007D057F"/>
    <w:rPr>
      <w:sz w:val="24"/>
      <w:lang w:eastAsia="en-US"/>
    </w:rPr>
  </w:style>
  <w:style w:type="paragraph" w:styleId="Revision">
    <w:name w:val="Revision"/>
    <w:hidden/>
    <w:uiPriority w:val="99"/>
    <w:semiHidden/>
    <w:rsid w:val="008F2C0B"/>
    <w:rPr>
      <w:sz w:val="24"/>
      <w:lang w:eastAsia="en-US"/>
    </w:rPr>
  </w:style>
  <w:style w:type="paragraph" w:styleId="ListParagraph">
    <w:name w:val="List Paragraph"/>
    <w:basedOn w:val="Normal"/>
    <w:uiPriority w:val="34"/>
    <w:qFormat/>
    <w:rsid w:val="009E37C2"/>
    <w:pPr>
      <w:spacing w:after="0"/>
      <w:ind w:left="720"/>
      <w:jc w:val="left"/>
    </w:pPr>
    <w:rPr>
      <w:rFonts w:ascii="Calibri" w:hAnsi="Calibri"/>
      <w:sz w:val="22"/>
      <w:szCs w:val="22"/>
    </w:rPr>
  </w:style>
  <w:style w:type="paragraph" w:styleId="TOCHeading">
    <w:name w:val="TOC Heading"/>
    <w:basedOn w:val="Heading1"/>
    <w:next w:val="Normal"/>
    <w:uiPriority w:val="39"/>
    <w:unhideWhenUsed/>
    <w:qFormat/>
    <w:rsid w:val="00783624"/>
    <w:pPr>
      <w:keepLines/>
      <w:numPr>
        <w:numId w:val="0"/>
      </w:numPr>
      <w:spacing w:before="480" w:after="0"/>
      <w:outlineLvl w:val="9"/>
    </w:pPr>
    <w:rPr>
      <w:rFonts w:ascii="Cambria" w:hAnsi="Cambria"/>
      <w:bCs/>
      <w:smallCaps w:val="0"/>
      <w:color w:val="365F91"/>
      <w:sz w:val="28"/>
      <w:szCs w:val="28"/>
    </w:rPr>
  </w:style>
  <w:style w:type="paragraph" w:customStyle="1" w:styleId="NumberList">
    <w:name w:val="Number_List"/>
    <w:basedOn w:val="Normal"/>
    <w:qFormat/>
    <w:rsid w:val="003D6A87"/>
    <w:pPr>
      <w:numPr>
        <w:numId w:val="19"/>
      </w:numPr>
      <w:spacing w:after="120"/>
      <w:contextualSpacing/>
      <w:jc w:val="left"/>
    </w:pPr>
    <w:rPr>
      <w:sz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5" w:uiPriority="39"/>
    <w:lsdException w:name="annotation text" w:uiPriority="99"/>
    <w:lsdException w:name="header"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1,Footnote Text Char Char Char,Footnote Text Char Char"/>
    <w:basedOn w:val="Normal"/>
    <w:link w:val="FootnoteTextChar"/>
    <w:rsid w:val="00D85A97"/>
    <w:pPr>
      <w:spacing w:after="60"/>
      <w:ind w:left="357" w:hanging="357"/>
    </w:pPr>
    <w:rPr>
      <w:sz w:val="20"/>
    </w:rPr>
  </w:style>
  <w:style w:type="paragraph" w:styleId="Header">
    <w:name w:val="header"/>
    <w:basedOn w:val="Normal"/>
    <w:link w:val="HeaderChar"/>
    <w:uiPriority w:val="99"/>
    <w:pPr>
      <w:numPr>
        <w:numId w:val="23"/>
      </w:num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rsid w:val="008A4E04"/>
    <w:pPr>
      <w:numPr>
        <w:numId w:val="18"/>
      </w:numPr>
      <w:tabs>
        <w:tab w:val="clear" w:pos="2302"/>
      </w:tabs>
      <w:ind w:left="1134"/>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302"/>
      </w:tabs>
    </w:pPr>
  </w:style>
  <w:style w:type="paragraph" w:customStyle="1" w:styleId="ListDash3">
    <w:name w:val="List Dash 3"/>
    <w:basedOn w:val="Text3"/>
    <w:pPr>
      <w:numPr>
        <w:numId w:val="11"/>
      </w:numPr>
      <w:tabs>
        <w:tab w:val="clear" w:pos="2302"/>
      </w:tabs>
    </w:pPr>
  </w:style>
  <w:style w:type="paragraph" w:customStyle="1" w:styleId="ListDash4">
    <w:name w:val="List Dash 4"/>
    <w:basedOn w:val="Text4"/>
    <w:pPr>
      <w:numPr>
        <w:numId w:val="12"/>
      </w:numPr>
      <w:tabs>
        <w:tab w:val="clear" w:pos="2302"/>
      </w:tabs>
    </w:pPr>
  </w:style>
  <w:style w:type="paragraph" w:customStyle="1" w:styleId="ListNumberLevel2">
    <w:name w:val="List Number (Level 2)"/>
    <w:basedOn w:val="Normal"/>
  </w:style>
  <w:style w:type="paragraph" w:customStyle="1" w:styleId="ListNumberLevel3">
    <w:name w:val="List Number (Level 3)"/>
    <w:basedOn w:val="Normal"/>
  </w:style>
  <w:style w:type="paragraph" w:customStyle="1" w:styleId="ListNumberLevel4">
    <w:name w:val="List Number (Level 4)"/>
    <w:basedOn w:val="Normal"/>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customStyle="1" w:styleId="TOCHeading1">
    <w:name w:val="TOC Heading1"/>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692EF5"/>
    <w:rPr>
      <w:rFonts w:ascii="Arial" w:hAnsi="Arial"/>
      <w:sz w:val="16"/>
      <w:lang w:eastAsia="en-US"/>
    </w:rPr>
  </w:style>
  <w:style w:type="paragraph" w:customStyle="1" w:styleId="ZCom">
    <w:name w:val="Z_Com"/>
    <w:basedOn w:val="Normal"/>
    <w:next w:val="ZDGName"/>
    <w:uiPriority w:val="99"/>
    <w:rsid w:val="00692EF5"/>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692EF5"/>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692EF5"/>
    <w:rPr>
      <w:sz w:val="24"/>
      <w:lang w:eastAsia="en-US"/>
    </w:rPr>
  </w:style>
  <w:style w:type="character" w:customStyle="1" w:styleId="FootnoteTextChar">
    <w:name w:val="Footnote Text Char"/>
    <w:aliases w:val="Footnote Text Char1 Char,Footnote Text Char Char Char Char,Footnote Text Char Char Char1"/>
    <w:link w:val="FootnoteText"/>
    <w:rsid w:val="00D85A97"/>
    <w:rPr>
      <w:lang w:eastAsia="en-US"/>
    </w:rPr>
  </w:style>
  <w:style w:type="character" w:styleId="FootnoteReference">
    <w:name w:val="footnote reference"/>
    <w:aliases w:val="Footnote,Ref,de nota al pie,Footnote number,fr,Fußnotenzeichen3,Footnote Reference Number,o,Footnote Reference_LVL6,Footnote Reference_LVL61,Footnote Reference_LVL62,Footnote Reference_LVL63,Footnote Reference_LVL64,BVI fnr,SUPERS,Ch"/>
    <w:uiPriority w:val="99"/>
    <w:unhideWhenUsed/>
    <w:rsid w:val="00692EF5"/>
    <w:rPr>
      <w:vertAlign w:val="superscript"/>
    </w:rPr>
  </w:style>
  <w:style w:type="character" w:styleId="CommentReference">
    <w:name w:val="annotation reference"/>
    <w:uiPriority w:val="99"/>
    <w:semiHidden/>
    <w:unhideWhenUsed/>
    <w:rsid w:val="00692EF5"/>
    <w:rPr>
      <w:sz w:val="16"/>
      <w:szCs w:val="16"/>
    </w:rPr>
  </w:style>
  <w:style w:type="character" w:customStyle="1" w:styleId="CommentTextChar">
    <w:name w:val="Comment Text Char"/>
    <w:link w:val="CommentText"/>
    <w:uiPriority w:val="99"/>
    <w:semiHidden/>
    <w:rsid w:val="00692EF5"/>
    <w:rPr>
      <w:lang w:eastAsia="en-US"/>
    </w:rPr>
  </w:style>
  <w:style w:type="paragraph" w:styleId="BalloonText">
    <w:name w:val="Balloon Text"/>
    <w:basedOn w:val="Normal"/>
    <w:link w:val="BalloonTextChar"/>
    <w:uiPriority w:val="99"/>
    <w:semiHidden/>
    <w:unhideWhenUsed/>
    <w:rsid w:val="00692EF5"/>
    <w:pPr>
      <w:spacing w:after="0"/>
    </w:pPr>
    <w:rPr>
      <w:rFonts w:ascii="Tahoma" w:hAnsi="Tahoma" w:cs="Tahoma"/>
      <w:sz w:val="16"/>
      <w:szCs w:val="16"/>
    </w:rPr>
  </w:style>
  <w:style w:type="character" w:customStyle="1" w:styleId="BalloonTextChar">
    <w:name w:val="Balloon Text Char"/>
    <w:link w:val="BalloonText"/>
    <w:uiPriority w:val="99"/>
    <w:semiHidden/>
    <w:rsid w:val="00692EF5"/>
    <w:rPr>
      <w:rFonts w:ascii="Tahoma" w:hAnsi="Tahoma" w:cs="Tahoma"/>
      <w:sz w:val="16"/>
      <w:szCs w:val="16"/>
      <w:lang w:eastAsia="en-US"/>
    </w:rPr>
  </w:style>
  <w:style w:type="character" w:styleId="Hyperlink">
    <w:name w:val="Hyperlink"/>
    <w:unhideWhenUsed/>
    <w:rsid w:val="007D25DA"/>
    <w:rPr>
      <w:color w:val="0000FF"/>
      <w:u w:val="single"/>
    </w:rPr>
  </w:style>
  <w:style w:type="character" w:customStyle="1" w:styleId="super">
    <w:name w:val="super"/>
    <w:rsid w:val="004B4DD4"/>
    <w:rPr>
      <w:sz w:val="12"/>
      <w:szCs w:val="12"/>
    </w:rPr>
  </w:style>
  <w:style w:type="paragraph" w:customStyle="1" w:styleId="normal1">
    <w:name w:val="normal1"/>
    <w:basedOn w:val="Normal"/>
    <w:rsid w:val="004B4DD4"/>
    <w:pPr>
      <w:spacing w:before="192" w:after="192"/>
    </w:pPr>
    <w:rPr>
      <w:sz w:val="18"/>
      <w:szCs w:val="18"/>
      <w:lang w:eastAsia="en-GB"/>
    </w:rPr>
  </w:style>
  <w:style w:type="character" w:customStyle="1" w:styleId="italic1">
    <w:name w:val="italic1"/>
    <w:rsid w:val="00EA5275"/>
    <w:rPr>
      <w:i/>
      <w:iCs/>
    </w:rPr>
  </w:style>
  <w:style w:type="paragraph" w:customStyle="1" w:styleId="MediumGrid1-Accent21">
    <w:name w:val="Medium Grid 1 - Accent 21"/>
    <w:basedOn w:val="Normal"/>
    <w:uiPriority w:val="34"/>
    <w:qFormat/>
    <w:rsid w:val="00983EEA"/>
    <w:pPr>
      <w:spacing w:after="0"/>
      <w:ind w:left="720"/>
      <w:contextualSpacing/>
      <w:jc w:val="left"/>
    </w:pPr>
    <w:rPr>
      <w:szCs w:val="24"/>
    </w:rPr>
  </w:style>
  <w:style w:type="paragraph" w:customStyle="1" w:styleId="Considrant">
    <w:name w:val="Considérant"/>
    <w:basedOn w:val="Normal"/>
    <w:rsid w:val="00262B65"/>
    <w:pPr>
      <w:numPr>
        <w:numId w:val="17"/>
      </w:numPr>
      <w:spacing w:after="0"/>
      <w:jc w:val="left"/>
    </w:pPr>
    <w:rPr>
      <w:szCs w:val="24"/>
    </w:rPr>
  </w:style>
  <w:style w:type="paragraph" w:customStyle="1" w:styleId="MediumList2-Accent21">
    <w:name w:val="Medium List 2 - Accent 21"/>
    <w:hidden/>
    <w:uiPriority w:val="71"/>
    <w:rsid w:val="003C7226"/>
    <w:rPr>
      <w:sz w:val="24"/>
      <w:lang w:eastAsia="en-US"/>
    </w:rPr>
  </w:style>
  <w:style w:type="paragraph" w:styleId="CommentSubject">
    <w:name w:val="annotation subject"/>
    <w:basedOn w:val="CommentText"/>
    <w:next w:val="CommentText"/>
    <w:link w:val="CommentSubjectChar"/>
    <w:uiPriority w:val="99"/>
    <w:semiHidden/>
    <w:unhideWhenUsed/>
    <w:rsid w:val="00990576"/>
    <w:rPr>
      <w:b/>
      <w:bCs/>
    </w:rPr>
  </w:style>
  <w:style w:type="character" w:customStyle="1" w:styleId="CommentSubjectChar">
    <w:name w:val="Comment Subject Char"/>
    <w:link w:val="CommentSubject"/>
    <w:uiPriority w:val="99"/>
    <w:semiHidden/>
    <w:rsid w:val="00990576"/>
    <w:rPr>
      <w:b/>
      <w:bCs/>
      <w:lang w:eastAsia="en-US"/>
    </w:rPr>
  </w:style>
  <w:style w:type="paragraph" w:customStyle="1" w:styleId="ColorfulShading-Accent11">
    <w:name w:val="Colorful Shading - Accent 11"/>
    <w:hidden/>
    <w:uiPriority w:val="99"/>
    <w:semiHidden/>
    <w:rsid w:val="007D057F"/>
    <w:rPr>
      <w:sz w:val="24"/>
      <w:lang w:eastAsia="en-US"/>
    </w:rPr>
  </w:style>
  <w:style w:type="paragraph" w:styleId="Revision">
    <w:name w:val="Revision"/>
    <w:hidden/>
    <w:uiPriority w:val="99"/>
    <w:semiHidden/>
    <w:rsid w:val="008F2C0B"/>
    <w:rPr>
      <w:sz w:val="24"/>
      <w:lang w:eastAsia="en-US"/>
    </w:rPr>
  </w:style>
  <w:style w:type="paragraph" w:styleId="ListParagraph">
    <w:name w:val="List Paragraph"/>
    <w:basedOn w:val="Normal"/>
    <w:uiPriority w:val="34"/>
    <w:qFormat/>
    <w:rsid w:val="009E37C2"/>
    <w:pPr>
      <w:spacing w:after="0"/>
      <w:ind w:left="720"/>
      <w:jc w:val="left"/>
    </w:pPr>
    <w:rPr>
      <w:rFonts w:ascii="Calibri" w:hAnsi="Calibri"/>
      <w:sz w:val="22"/>
      <w:szCs w:val="22"/>
    </w:rPr>
  </w:style>
  <w:style w:type="paragraph" w:styleId="TOCHeading">
    <w:name w:val="TOC Heading"/>
    <w:basedOn w:val="Heading1"/>
    <w:next w:val="Normal"/>
    <w:uiPriority w:val="39"/>
    <w:unhideWhenUsed/>
    <w:qFormat/>
    <w:rsid w:val="00783624"/>
    <w:pPr>
      <w:keepLines/>
      <w:numPr>
        <w:numId w:val="0"/>
      </w:numPr>
      <w:spacing w:before="480" w:after="0"/>
      <w:outlineLvl w:val="9"/>
    </w:pPr>
    <w:rPr>
      <w:rFonts w:ascii="Cambria" w:hAnsi="Cambria"/>
      <w:bCs/>
      <w:smallCaps w:val="0"/>
      <w:color w:val="365F91"/>
      <w:sz w:val="28"/>
      <w:szCs w:val="28"/>
    </w:rPr>
  </w:style>
  <w:style w:type="paragraph" w:customStyle="1" w:styleId="NumberList">
    <w:name w:val="Number_List"/>
    <w:basedOn w:val="Normal"/>
    <w:qFormat/>
    <w:rsid w:val="003D6A87"/>
    <w:pPr>
      <w:numPr>
        <w:numId w:val="19"/>
      </w:numPr>
      <w:spacing w:after="120"/>
      <w:contextualSpacing/>
      <w:jc w:val="left"/>
    </w:pPr>
    <w:rPr>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8131">
      <w:bodyDiv w:val="1"/>
      <w:marLeft w:val="0"/>
      <w:marRight w:val="0"/>
      <w:marTop w:val="0"/>
      <w:marBottom w:val="0"/>
      <w:divBdr>
        <w:top w:val="none" w:sz="0" w:space="0" w:color="auto"/>
        <w:left w:val="none" w:sz="0" w:space="0" w:color="auto"/>
        <w:bottom w:val="none" w:sz="0" w:space="0" w:color="auto"/>
        <w:right w:val="none" w:sz="0" w:space="0" w:color="auto"/>
      </w:divBdr>
    </w:div>
    <w:div w:id="266695737">
      <w:bodyDiv w:val="1"/>
      <w:marLeft w:val="0"/>
      <w:marRight w:val="0"/>
      <w:marTop w:val="0"/>
      <w:marBottom w:val="0"/>
      <w:divBdr>
        <w:top w:val="none" w:sz="0" w:space="0" w:color="auto"/>
        <w:left w:val="none" w:sz="0" w:space="0" w:color="auto"/>
        <w:bottom w:val="none" w:sz="0" w:space="0" w:color="auto"/>
        <w:right w:val="none" w:sz="0" w:space="0" w:color="auto"/>
      </w:divBdr>
      <w:divsChild>
        <w:div w:id="1924800758">
          <w:marLeft w:val="0"/>
          <w:marRight w:val="0"/>
          <w:marTop w:val="0"/>
          <w:marBottom w:val="0"/>
          <w:divBdr>
            <w:top w:val="none" w:sz="0" w:space="0" w:color="auto"/>
            <w:left w:val="none" w:sz="0" w:space="0" w:color="auto"/>
            <w:bottom w:val="none" w:sz="0" w:space="0" w:color="auto"/>
            <w:right w:val="none" w:sz="0" w:space="0" w:color="auto"/>
          </w:divBdr>
          <w:divsChild>
            <w:div w:id="913588762">
              <w:marLeft w:val="0"/>
              <w:marRight w:val="0"/>
              <w:marTop w:val="0"/>
              <w:marBottom w:val="0"/>
              <w:divBdr>
                <w:top w:val="none" w:sz="0" w:space="0" w:color="auto"/>
                <w:left w:val="none" w:sz="0" w:space="0" w:color="auto"/>
                <w:bottom w:val="none" w:sz="0" w:space="0" w:color="auto"/>
                <w:right w:val="none" w:sz="0" w:space="0" w:color="auto"/>
              </w:divBdr>
              <w:divsChild>
                <w:div w:id="235825858">
                  <w:marLeft w:val="0"/>
                  <w:marRight w:val="0"/>
                  <w:marTop w:val="0"/>
                  <w:marBottom w:val="0"/>
                  <w:divBdr>
                    <w:top w:val="none" w:sz="0" w:space="0" w:color="auto"/>
                    <w:left w:val="none" w:sz="0" w:space="0" w:color="auto"/>
                    <w:bottom w:val="none" w:sz="0" w:space="0" w:color="auto"/>
                    <w:right w:val="none" w:sz="0" w:space="0" w:color="auto"/>
                  </w:divBdr>
                  <w:divsChild>
                    <w:div w:id="387460396">
                      <w:marLeft w:val="1"/>
                      <w:marRight w:val="0"/>
                      <w:marTop w:val="0"/>
                      <w:marBottom w:val="0"/>
                      <w:divBdr>
                        <w:top w:val="none" w:sz="0" w:space="0" w:color="auto"/>
                        <w:left w:val="none" w:sz="0" w:space="0" w:color="auto"/>
                        <w:bottom w:val="none" w:sz="0" w:space="0" w:color="auto"/>
                        <w:right w:val="none" w:sz="0" w:space="0" w:color="auto"/>
                      </w:divBdr>
                      <w:divsChild>
                        <w:div w:id="274144729">
                          <w:marLeft w:val="0"/>
                          <w:marRight w:val="0"/>
                          <w:marTop w:val="0"/>
                          <w:marBottom w:val="0"/>
                          <w:divBdr>
                            <w:top w:val="none" w:sz="0" w:space="0" w:color="auto"/>
                            <w:left w:val="none" w:sz="0" w:space="0" w:color="auto"/>
                            <w:bottom w:val="none" w:sz="0" w:space="0" w:color="auto"/>
                            <w:right w:val="none" w:sz="0" w:space="0" w:color="auto"/>
                          </w:divBdr>
                          <w:divsChild>
                            <w:div w:id="402483731">
                              <w:marLeft w:val="0"/>
                              <w:marRight w:val="0"/>
                              <w:marTop w:val="0"/>
                              <w:marBottom w:val="360"/>
                              <w:divBdr>
                                <w:top w:val="none" w:sz="0" w:space="0" w:color="auto"/>
                                <w:left w:val="none" w:sz="0" w:space="0" w:color="auto"/>
                                <w:bottom w:val="none" w:sz="0" w:space="0" w:color="auto"/>
                                <w:right w:val="none" w:sz="0" w:space="0" w:color="auto"/>
                              </w:divBdr>
                              <w:divsChild>
                                <w:div w:id="8276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173669">
      <w:bodyDiv w:val="1"/>
      <w:marLeft w:val="0"/>
      <w:marRight w:val="0"/>
      <w:marTop w:val="0"/>
      <w:marBottom w:val="0"/>
      <w:divBdr>
        <w:top w:val="none" w:sz="0" w:space="0" w:color="auto"/>
        <w:left w:val="none" w:sz="0" w:space="0" w:color="auto"/>
        <w:bottom w:val="none" w:sz="0" w:space="0" w:color="auto"/>
        <w:right w:val="none" w:sz="0" w:space="0" w:color="auto"/>
      </w:divBdr>
    </w:div>
    <w:div w:id="448282753">
      <w:bodyDiv w:val="1"/>
      <w:marLeft w:val="0"/>
      <w:marRight w:val="0"/>
      <w:marTop w:val="0"/>
      <w:marBottom w:val="0"/>
      <w:divBdr>
        <w:top w:val="none" w:sz="0" w:space="0" w:color="auto"/>
        <w:left w:val="none" w:sz="0" w:space="0" w:color="auto"/>
        <w:bottom w:val="none" w:sz="0" w:space="0" w:color="auto"/>
        <w:right w:val="none" w:sz="0" w:space="0" w:color="auto"/>
      </w:divBdr>
    </w:div>
    <w:div w:id="626860657">
      <w:bodyDiv w:val="1"/>
      <w:marLeft w:val="0"/>
      <w:marRight w:val="0"/>
      <w:marTop w:val="0"/>
      <w:marBottom w:val="0"/>
      <w:divBdr>
        <w:top w:val="none" w:sz="0" w:space="0" w:color="auto"/>
        <w:left w:val="none" w:sz="0" w:space="0" w:color="auto"/>
        <w:bottom w:val="none" w:sz="0" w:space="0" w:color="auto"/>
        <w:right w:val="none" w:sz="0" w:space="0" w:color="auto"/>
      </w:divBdr>
    </w:div>
    <w:div w:id="897861739">
      <w:bodyDiv w:val="1"/>
      <w:marLeft w:val="0"/>
      <w:marRight w:val="0"/>
      <w:marTop w:val="0"/>
      <w:marBottom w:val="0"/>
      <w:divBdr>
        <w:top w:val="none" w:sz="0" w:space="0" w:color="auto"/>
        <w:left w:val="none" w:sz="0" w:space="0" w:color="auto"/>
        <w:bottom w:val="none" w:sz="0" w:space="0" w:color="auto"/>
        <w:right w:val="none" w:sz="0" w:space="0" w:color="auto"/>
      </w:divBdr>
    </w:div>
    <w:div w:id="924806100">
      <w:bodyDiv w:val="1"/>
      <w:marLeft w:val="0"/>
      <w:marRight w:val="0"/>
      <w:marTop w:val="0"/>
      <w:marBottom w:val="0"/>
      <w:divBdr>
        <w:top w:val="none" w:sz="0" w:space="0" w:color="auto"/>
        <w:left w:val="none" w:sz="0" w:space="0" w:color="auto"/>
        <w:bottom w:val="none" w:sz="0" w:space="0" w:color="auto"/>
        <w:right w:val="none" w:sz="0" w:space="0" w:color="auto"/>
      </w:divBdr>
    </w:div>
    <w:div w:id="1032530809">
      <w:bodyDiv w:val="1"/>
      <w:marLeft w:val="0"/>
      <w:marRight w:val="0"/>
      <w:marTop w:val="0"/>
      <w:marBottom w:val="0"/>
      <w:divBdr>
        <w:top w:val="none" w:sz="0" w:space="0" w:color="auto"/>
        <w:left w:val="none" w:sz="0" w:space="0" w:color="auto"/>
        <w:bottom w:val="none" w:sz="0" w:space="0" w:color="auto"/>
        <w:right w:val="none" w:sz="0" w:space="0" w:color="auto"/>
      </w:divBdr>
      <w:divsChild>
        <w:div w:id="2094429761">
          <w:marLeft w:val="0"/>
          <w:marRight w:val="0"/>
          <w:marTop w:val="0"/>
          <w:marBottom w:val="0"/>
          <w:divBdr>
            <w:top w:val="none" w:sz="0" w:space="0" w:color="auto"/>
            <w:left w:val="none" w:sz="0" w:space="0" w:color="auto"/>
            <w:bottom w:val="none" w:sz="0" w:space="0" w:color="auto"/>
            <w:right w:val="none" w:sz="0" w:space="0" w:color="auto"/>
          </w:divBdr>
          <w:divsChild>
            <w:div w:id="1374187741">
              <w:marLeft w:val="0"/>
              <w:marRight w:val="0"/>
              <w:marTop w:val="0"/>
              <w:marBottom w:val="0"/>
              <w:divBdr>
                <w:top w:val="none" w:sz="0" w:space="0" w:color="auto"/>
                <w:left w:val="none" w:sz="0" w:space="0" w:color="auto"/>
                <w:bottom w:val="none" w:sz="0" w:space="0" w:color="auto"/>
                <w:right w:val="none" w:sz="0" w:space="0" w:color="auto"/>
              </w:divBdr>
              <w:divsChild>
                <w:div w:id="463163286">
                  <w:marLeft w:val="0"/>
                  <w:marRight w:val="0"/>
                  <w:marTop w:val="0"/>
                  <w:marBottom w:val="0"/>
                  <w:divBdr>
                    <w:top w:val="none" w:sz="0" w:space="0" w:color="auto"/>
                    <w:left w:val="none" w:sz="0" w:space="0" w:color="auto"/>
                    <w:bottom w:val="none" w:sz="0" w:space="0" w:color="auto"/>
                    <w:right w:val="none" w:sz="0" w:space="0" w:color="auto"/>
                  </w:divBdr>
                  <w:divsChild>
                    <w:div w:id="202328413">
                      <w:marLeft w:val="1"/>
                      <w:marRight w:val="0"/>
                      <w:marTop w:val="0"/>
                      <w:marBottom w:val="0"/>
                      <w:divBdr>
                        <w:top w:val="none" w:sz="0" w:space="0" w:color="auto"/>
                        <w:left w:val="none" w:sz="0" w:space="0" w:color="auto"/>
                        <w:bottom w:val="none" w:sz="0" w:space="0" w:color="auto"/>
                        <w:right w:val="none" w:sz="0" w:space="0" w:color="auto"/>
                      </w:divBdr>
                      <w:divsChild>
                        <w:div w:id="1230458225">
                          <w:marLeft w:val="0"/>
                          <w:marRight w:val="0"/>
                          <w:marTop w:val="0"/>
                          <w:marBottom w:val="0"/>
                          <w:divBdr>
                            <w:top w:val="none" w:sz="0" w:space="0" w:color="auto"/>
                            <w:left w:val="none" w:sz="0" w:space="0" w:color="auto"/>
                            <w:bottom w:val="none" w:sz="0" w:space="0" w:color="auto"/>
                            <w:right w:val="none" w:sz="0" w:space="0" w:color="auto"/>
                          </w:divBdr>
                          <w:divsChild>
                            <w:div w:id="467674003">
                              <w:marLeft w:val="0"/>
                              <w:marRight w:val="0"/>
                              <w:marTop w:val="0"/>
                              <w:marBottom w:val="360"/>
                              <w:divBdr>
                                <w:top w:val="none" w:sz="0" w:space="0" w:color="auto"/>
                                <w:left w:val="none" w:sz="0" w:space="0" w:color="auto"/>
                                <w:bottom w:val="none" w:sz="0" w:space="0" w:color="auto"/>
                                <w:right w:val="none" w:sz="0" w:space="0" w:color="auto"/>
                              </w:divBdr>
                              <w:divsChild>
                                <w:div w:id="18154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93752">
      <w:bodyDiv w:val="1"/>
      <w:marLeft w:val="0"/>
      <w:marRight w:val="0"/>
      <w:marTop w:val="0"/>
      <w:marBottom w:val="0"/>
      <w:divBdr>
        <w:top w:val="none" w:sz="0" w:space="0" w:color="auto"/>
        <w:left w:val="none" w:sz="0" w:space="0" w:color="auto"/>
        <w:bottom w:val="none" w:sz="0" w:space="0" w:color="auto"/>
        <w:right w:val="none" w:sz="0" w:space="0" w:color="auto"/>
      </w:divBdr>
    </w:div>
    <w:div w:id="1223640659">
      <w:bodyDiv w:val="1"/>
      <w:marLeft w:val="0"/>
      <w:marRight w:val="0"/>
      <w:marTop w:val="0"/>
      <w:marBottom w:val="0"/>
      <w:divBdr>
        <w:top w:val="none" w:sz="0" w:space="0" w:color="auto"/>
        <w:left w:val="none" w:sz="0" w:space="0" w:color="auto"/>
        <w:bottom w:val="none" w:sz="0" w:space="0" w:color="auto"/>
        <w:right w:val="none" w:sz="0" w:space="0" w:color="auto"/>
      </w:divBdr>
    </w:div>
    <w:div w:id="1237401597">
      <w:bodyDiv w:val="1"/>
      <w:marLeft w:val="0"/>
      <w:marRight w:val="0"/>
      <w:marTop w:val="0"/>
      <w:marBottom w:val="0"/>
      <w:divBdr>
        <w:top w:val="none" w:sz="0" w:space="0" w:color="auto"/>
        <w:left w:val="none" w:sz="0" w:space="0" w:color="auto"/>
        <w:bottom w:val="none" w:sz="0" w:space="0" w:color="auto"/>
        <w:right w:val="none" w:sz="0" w:space="0" w:color="auto"/>
      </w:divBdr>
    </w:div>
    <w:div w:id="1575118041">
      <w:bodyDiv w:val="1"/>
      <w:marLeft w:val="0"/>
      <w:marRight w:val="0"/>
      <w:marTop w:val="0"/>
      <w:marBottom w:val="0"/>
      <w:divBdr>
        <w:top w:val="none" w:sz="0" w:space="0" w:color="auto"/>
        <w:left w:val="none" w:sz="0" w:space="0" w:color="auto"/>
        <w:bottom w:val="none" w:sz="0" w:space="0" w:color="auto"/>
        <w:right w:val="none" w:sz="0" w:space="0" w:color="auto"/>
      </w:divBdr>
      <w:divsChild>
        <w:div w:id="1665933390">
          <w:marLeft w:val="0"/>
          <w:marRight w:val="0"/>
          <w:marTop w:val="0"/>
          <w:marBottom w:val="0"/>
          <w:divBdr>
            <w:top w:val="none" w:sz="0" w:space="0" w:color="auto"/>
            <w:left w:val="none" w:sz="0" w:space="0" w:color="auto"/>
            <w:bottom w:val="none" w:sz="0" w:space="0" w:color="auto"/>
            <w:right w:val="none" w:sz="0" w:space="0" w:color="auto"/>
          </w:divBdr>
          <w:divsChild>
            <w:div w:id="598100039">
              <w:marLeft w:val="0"/>
              <w:marRight w:val="0"/>
              <w:marTop w:val="0"/>
              <w:marBottom w:val="0"/>
              <w:divBdr>
                <w:top w:val="none" w:sz="0" w:space="0" w:color="auto"/>
                <w:left w:val="none" w:sz="0" w:space="0" w:color="auto"/>
                <w:bottom w:val="none" w:sz="0" w:space="0" w:color="auto"/>
                <w:right w:val="none" w:sz="0" w:space="0" w:color="auto"/>
              </w:divBdr>
              <w:divsChild>
                <w:div w:id="1158031140">
                  <w:marLeft w:val="0"/>
                  <w:marRight w:val="0"/>
                  <w:marTop w:val="0"/>
                  <w:marBottom w:val="0"/>
                  <w:divBdr>
                    <w:top w:val="none" w:sz="0" w:space="0" w:color="auto"/>
                    <w:left w:val="none" w:sz="0" w:space="0" w:color="auto"/>
                    <w:bottom w:val="none" w:sz="0" w:space="0" w:color="auto"/>
                    <w:right w:val="none" w:sz="0" w:space="0" w:color="auto"/>
                  </w:divBdr>
                  <w:divsChild>
                    <w:div w:id="2057120052">
                      <w:marLeft w:val="1"/>
                      <w:marRight w:val="0"/>
                      <w:marTop w:val="0"/>
                      <w:marBottom w:val="0"/>
                      <w:divBdr>
                        <w:top w:val="none" w:sz="0" w:space="0" w:color="auto"/>
                        <w:left w:val="none" w:sz="0" w:space="0" w:color="auto"/>
                        <w:bottom w:val="none" w:sz="0" w:space="0" w:color="auto"/>
                        <w:right w:val="none" w:sz="0" w:space="0" w:color="auto"/>
                      </w:divBdr>
                      <w:divsChild>
                        <w:div w:id="852571810">
                          <w:marLeft w:val="0"/>
                          <w:marRight w:val="0"/>
                          <w:marTop w:val="0"/>
                          <w:marBottom w:val="0"/>
                          <w:divBdr>
                            <w:top w:val="none" w:sz="0" w:space="0" w:color="auto"/>
                            <w:left w:val="none" w:sz="0" w:space="0" w:color="auto"/>
                            <w:bottom w:val="none" w:sz="0" w:space="0" w:color="auto"/>
                            <w:right w:val="none" w:sz="0" w:space="0" w:color="auto"/>
                          </w:divBdr>
                          <w:divsChild>
                            <w:div w:id="111098422">
                              <w:marLeft w:val="0"/>
                              <w:marRight w:val="0"/>
                              <w:marTop w:val="0"/>
                              <w:marBottom w:val="360"/>
                              <w:divBdr>
                                <w:top w:val="none" w:sz="0" w:space="0" w:color="auto"/>
                                <w:left w:val="none" w:sz="0" w:space="0" w:color="auto"/>
                                <w:bottom w:val="none" w:sz="0" w:space="0" w:color="auto"/>
                                <w:right w:val="none" w:sz="0" w:space="0" w:color="auto"/>
                              </w:divBdr>
                              <w:divsChild>
                                <w:div w:id="3844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637009">
      <w:bodyDiv w:val="1"/>
      <w:marLeft w:val="0"/>
      <w:marRight w:val="0"/>
      <w:marTop w:val="0"/>
      <w:marBottom w:val="0"/>
      <w:divBdr>
        <w:top w:val="none" w:sz="0" w:space="0" w:color="auto"/>
        <w:left w:val="none" w:sz="0" w:space="0" w:color="auto"/>
        <w:bottom w:val="none" w:sz="0" w:space="0" w:color="auto"/>
        <w:right w:val="none" w:sz="0" w:space="0" w:color="auto"/>
      </w:divBdr>
    </w:div>
    <w:div w:id="1814516009">
      <w:bodyDiv w:val="1"/>
      <w:marLeft w:val="0"/>
      <w:marRight w:val="0"/>
      <w:marTop w:val="0"/>
      <w:marBottom w:val="0"/>
      <w:divBdr>
        <w:top w:val="none" w:sz="0" w:space="0" w:color="auto"/>
        <w:left w:val="none" w:sz="0" w:space="0" w:color="auto"/>
        <w:bottom w:val="none" w:sz="0" w:space="0" w:color="auto"/>
        <w:right w:val="none" w:sz="0" w:space="0" w:color="auto"/>
      </w:divBdr>
    </w:div>
    <w:div w:id="2006005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competition/mergers/legislation/non_disclosure_agreement_en.pdf" TargetMode="External"/><Relationship Id="rId2" Type="http://schemas.openxmlformats.org/officeDocument/2006/relationships/hyperlink" Target="http://ec.europa.eu/competition/mergers/legislation/data_room_rules_en.pdf" TargetMode="External"/><Relationship Id="rId1" Type="http://schemas.openxmlformats.org/officeDocument/2006/relationships/hyperlink" Target="http://ec.europa.eu/competition/mergers/legislation/disclosure_information_data_rooms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18800d7b0fd47378e8c33f2d6703a04 xmlns="296185b4-62fd-44f8-8e42-c49ec01169a8">
      <Terms xmlns="http://schemas.microsoft.com/office/infopath/2007/PartnerControls"/>
    </j18800d7b0fd47378e8c33f2d6703a04>
    <documentTitle xmlns="296185b4-62fd-44f8-8e42-c49ec01169a8">Best Practices on the disclosure of information in data rooms in proceedings under Articles 101 and 102 TFEU and under the EU Merger Regulation</documentTitle>
    <documentSummary xmlns="296185b4-62fd-44f8-8e42-c49ec01169a8" xsi:nil="true"/>
    <i01f3672441c48e78a02742af9b5a9b2 xmlns="296185b4-62fd-44f8-8e42-c49ec01169a8">
      <Terms xmlns="http://schemas.microsoft.com/office/infopath/2007/PartnerControls"/>
    </i01f3672441c48e78a02742af9b5a9b2>
    <documentComments xmlns="296185b4-62fd-44f8-8e42-c49ec01169a8" xsi:nil="true"/>
    <documentFollowUp xmlns="296185b4-62fd-44f8-8e42-c49ec01169a8" xsi:nil="true"/>
    <TaxCatchAll xmlns="296185b4-62fd-44f8-8e42-c49ec01169a8"/>
  </documentManagement>
</p:properties>
</file>

<file path=customXml/item2.xml><?xml version="1.0" encoding="utf-8"?>
<ct:contentTypeSchema xmlns:ct="http://schemas.microsoft.com/office/2006/metadata/contentType" xmlns:ma="http://schemas.microsoft.com/office/2006/metadata/properties/metaAttributes" ct:_="" ma:_="" ma:contentTypeName="Work Document" ma:contentTypeID="0x01010400988603A364794F7AA753E65AAE7328050047F7F58AC1DD6E4F836792139343AAC6" ma:contentTypeVersion="4" ma:contentTypeDescription="Upload a any type of Document to this Document Library, Tag and Categorize." ma:contentTypeScope="" ma:versionID="6c27b18531c91fd97278cede55d937cd">
  <xsd:schema xmlns:xsd="http://www.w3.org/2001/XMLSchema" xmlns:xs="http://www.w3.org/2001/XMLSchema" xmlns:p="http://schemas.microsoft.com/office/2006/metadata/properties" xmlns:ns1="296185b4-62fd-44f8-8e42-c49ec01169a8" targetNamespace="http://schemas.microsoft.com/office/2006/metadata/properties" ma:root="true" ma:fieldsID="b377368b1f33ae2df219c1279af774f1" ns1:_="">
    <xsd:import namespace="296185b4-62fd-44f8-8e42-c49ec01169a8"/>
    <xsd:element name="properties">
      <xsd:complexType>
        <xsd:sequence>
          <xsd:element name="documentManagement">
            <xsd:complexType>
              <xsd:all>
                <xsd:element ref="ns1:documentTitle" minOccurs="0"/>
                <xsd:element ref="ns1:documentSummary" minOccurs="0"/>
                <xsd:element ref="ns1:documentComments" minOccurs="0"/>
                <xsd:element ref="ns1:documentFollowUp" minOccurs="0"/>
                <xsd:element ref="ns1:j18800d7b0fd47378e8c33f2d6703a04" minOccurs="0"/>
                <xsd:element ref="ns1:TaxCatchAll" minOccurs="0"/>
                <xsd:element ref="ns1:TaxCatchAllLabel" minOccurs="0"/>
                <xsd:element ref="ns1:i01f3672441c48e78a02742af9b5a9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185b4-62fd-44f8-8e42-c49ec01169a8" elementFormDefault="qualified">
    <xsd:import namespace="http://schemas.microsoft.com/office/2006/documentManagement/types"/>
    <xsd:import namespace="http://schemas.microsoft.com/office/infopath/2007/PartnerControls"/>
    <xsd:element name="documentTitle" ma:index="0" nillable="true" ma:displayName="Document Title" ma:description="The Title of the Document is different than its Filename." ma:internalName="documentTitle">
      <xsd:simpleType>
        <xsd:restriction base="dms:Text">
          <xsd:maxLength value="255"/>
        </xsd:restriction>
      </xsd:simpleType>
    </xsd:element>
    <xsd:element name="documentSummary" ma:index="1" nillable="true" ma:displayName="Summary" ma:description="The Summary is useful to further describe the document." ma:internalName="documentSummary">
      <xsd:simpleType>
        <xsd:restriction base="dms:Note">
          <xsd:maxLength value="255"/>
        </xsd:restriction>
      </xsd:simpleType>
    </xsd:element>
    <xsd:element name="documentComments" ma:index="2" nillable="true" ma:displayName="Comments" ma:description="Comments have historical data by User and Date." ma:internalName="documentComments">
      <xsd:simpleType>
        <xsd:restriction base="dms:Note">
          <xsd:maxLength value="255"/>
        </xsd:restriction>
      </xsd:simpleType>
    </xsd:element>
    <xsd:element name="documentFollowUp" ma:index="3" nillable="true" ma:displayName="Follow Up" ma:description="Any pertinent Information regarding the proposed Workflow to this document." ma:internalName="documentFollowUp">
      <xsd:simpleType>
        <xsd:restriction base="dms:Note">
          <xsd:maxLength value="255"/>
        </xsd:restriction>
      </xsd:simpleType>
    </xsd:element>
    <xsd:element name="j18800d7b0fd47378e8c33f2d6703a04" ma:index="4" nillable="true" ma:taxonomy="true" ma:internalName="j18800d7b0fd47378e8c33f2d6703a04" ma:taxonomyFieldName="documentGeneralTags" ma:displayName="General Tags" ma:fieldId="{318800d7-b0fd-4737-8e8c-33f2d6703a04}" ma:taxonomyMulti="true" ma:sspId="0b3cc5dc-dc2a-4346-9392-57628a0b46cb" ma:termSetId="8b7e80e7-ae8a-43b2-bd33-ab5e3dce1b12"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391a78a5-8df8-469b-beb8-2c2109370597}" ma:internalName="TaxCatchAll" ma:showField="CatchAllData" ma:web="296185b4-62fd-44f8-8e42-c49ec01169a8">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description="" ma:hidden="true" ma:list="{391a78a5-8df8-469b-beb8-2c2109370597}" ma:internalName="TaxCatchAllLabel" ma:readOnly="true" ma:showField="CatchAllDataLabel" ma:web="296185b4-62fd-44f8-8e42-c49ec01169a8">
      <xsd:complexType>
        <xsd:complexContent>
          <xsd:extension base="dms:MultiChoiceLookup">
            <xsd:sequence>
              <xsd:element name="Value" type="dms:Lookup" maxOccurs="unbounded" minOccurs="0" nillable="true"/>
            </xsd:sequence>
          </xsd:extension>
        </xsd:complexContent>
      </xsd:complexType>
    </xsd:element>
    <xsd:element name="i01f3672441c48e78a02742af9b5a9b2" ma:index="8" nillable="true" ma:taxonomy="true" ma:internalName="i01f3672441c48e78a02742af9b5a9b2" ma:taxonomyFieldName="documentCaseTags" ma:displayName="Case Tags" ma:fieldId="{201f3672-441c-48e7-8a02-742af9b5a9b2}" ma:taxonomyMulti="true" ma:sspId="0b3cc5dc-dc2a-4346-9392-57628a0b46cb" ma:termSetId="7bb8f947-6a5f-4869-b283-5f0101ce383a"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542C7-FA3B-405C-B93C-E1B7ABB64CD0}">
  <ds:schemaRefs>
    <ds:schemaRef ds:uri="http://schemas.microsoft.com/office/infopath/2007/PartnerControls"/>
    <ds:schemaRef ds:uri="296185b4-62fd-44f8-8e42-c49ec01169a8"/>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842C8A80-2F40-4E4C-B884-9C723EAB2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185b4-62fd-44f8-8e42-c49ec0116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14A3E-4A31-40F6-B77A-9BC24B60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17</Pages>
  <Words>4385</Words>
  <Characters>24998</Characters>
  <Application>Microsoft Office Word</Application>
  <DocSecurity>4</DocSecurity>
  <PresentationFormat>Microsoft Word 14.0</PresentationFormat>
  <Lines>208</Lines>
  <Paragraphs>58</Paragraphs>
  <ScaleCrop>false</ScaleCrop>
  <HeadingPairs>
    <vt:vector size="2" baseType="variant">
      <vt:variant>
        <vt:lpstr>Title</vt:lpstr>
      </vt:variant>
      <vt:variant>
        <vt:i4>1</vt:i4>
      </vt:variant>
    </vt:vector>
  </HeadingPairs>
  <TitlesOfParts>
    <vt:vector size="1" baseType="lpstr">
      <vt:lpstr>Best Practices on the disclosure of information in data rooms in proceedings under Articles 101 and 102 TFEU and under the EU Merger Regulation</vt:lpstr>
    </vt:vector>
  </TitlesOfParts>
  <Company>European Commission</Company>
  <LinksUpToDate>false</LinksUpToDate>
  <CharactersWithSpaces>29325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on the disclosure of information in data rooms in proceedings under Articles 101 and 102 TFEU and under the EU Merger Regulation</dc:title>
  <dc:creator>Christos TSOUMANIS</dc:creator>
  <cp:keywords>EL4</cp:keywords>
  <cp:lastModifiedBy>BENCOVA Lubomira (COMP)</cp:lastModifiedBy>
  <cp:revision>2</cp:revision>
  <cp:lastPrinted>2014-12-15T08:18:00Z</cp:lastPrinted>
  <dcterms:created xsi:type="dcterms:W3CDTF">2018-12-05T12:24:00Z</dcterms:created>
  <dcterms:modified xsi:type="dcterms:W3CDTF">2018-12-05T12:24:00Z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4.5.0.2</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Christos TSOUMANIS</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0x01010400988603A364794F7AA753E65AAE73280500608B3A0BD3B6FD4CB1272224B826709D</vt:lpwstr>
  </property>
  <property fmtid="{D5CDD505-2E9C-101B-9397-08002B2CF9AE}" pid="14" name="documentCaseTags">
    <vt:lpwstr/>
  </property>
  <property fmtid="{D5CDD505-2E9C-101B-9397-08002B2CF9AE}" pid="15" name="documentGeneralTags">
    <vt:lpwstr/>
  </property>
  <property fmtid="{D5CDD505-2E9C-101B-9397-08002B2CF9AE}" pid="16" name="_NewReviewCycle">
    <vt:lpwstr/>
  </property>
  <property fmtid="{D5CDD505-2E9C-101B-9397-08002B2CF9AE}" pid="17" name="c60cc4db252e4400af6d45831131247c">
    <vt:lpwstr/>
  </property>
  <property fmtid="{D5CDD505-2E9C-101B-9397-08002B2CF9AE}" pid="18" name="i49a9017749d434fa5b3668681ad9a18">
    <vt:lpwstr/>
  </property>
</Properties>
</file>